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color w:val="B4433A"/>
          <w:sz w:val="19"/>
          <w:rFonts w:eastAsia="宋体"/>
        </w:rPr>
        <w:t>辅助初审，不构成法律意见；规则表为通用口径，未经律师审定；重要条款以律师意见为准。</w:t>
      </w:r>
    </w:p>
    <w:p>
      <w:pPr>
        <w:spacing w:after="120" w:before="0"/>
      </w:pPr>
      <w:r>
        <w:rPr>
          <w:color w:val="5B6B70"/>
          <w:sz w:val="19"/>
          <w:rFonts w:eastAsia="宋体"/>
        </w:rPr>
        <w:t>示例数据。公司与数字均为虚构。</w:t>
      </w:r>
    </w:p>
    <w:p>
      <w:pPr>
        <w:spacing w:after="80" w:before="0"/>
      </w:pPr>
      <w:r>
        <w:rPr>
          <w:b/>
          <w:sz w:val="30"/>
          <w:rFonts w:eastAsia="宋体"/>
        </w:rPr>
        <w:t>合同风险审查助手：验收单</w:t>
      </w:r>
    </w:p>
    <w:p>
      <w:pPr>
        <w:spacing w:after="60" w:before="0"/>
      </w:pPr>
      <w:r>
        <w:rPr>
          <w:rFonts w:eastAsia="宋体"/>
        </w:rPr>
        <w:t>验收日期：2026年10月10日　共 1 份合同。</w:t>
      </w:r>
    </w:p>
    <w:p>
      <w:pPr>
        <w:spacing w:after="60" w:before="0"/>
      </w:pPr>
      <w:r>
        <w:rPr>
          <w:rFonts w:eastAsia="宋体"/>
        </w:rPr>
        <w:t>审查标准表：待律师审定。律师审定未完成的项写“待律师审定”，其余项照常验收。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20"/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>
        <w:tc>
          <w:tcPr>
            <w:tcW w:type="dxa" w:w="1120"/>
          </w:tcPr>
          <w:p>
            <w:r/>
            <w:r>
              <w:rPr>
                <w:b/>
                <w:sz w:val="20"/>
                <w:rFonts w:eastAsia="宋体"/>
              </w:rPr>
              <w:t>合同</w:t>
            </w:r>
          </w:p>
        </w:tc>
        <w:tc>
          <w:tcPr>
            <w:tcW w:type="dxa" w:w="1120"/>
          </w:tcPr>
          <w:p>
            <w:r/>
            <w:r>
              <w:rPr>
                <w:b/>
                <w:sz w:val="20"/>
                <w:rFonts w:eastAsia="宋体"/>
              </w:rPr>
              <w:t>抽取</w:t>
            </w:r>
          </w:p>
        </w:tc>
        <w:tc>
          <w:tcPr>
            <w:tcW w:type="dxa" w:w="1120"/>
          </w:tcPr>
          <w:p>
            <w:r/>
            <w:r>
              <w:rPr>
                <w:b/>
                <w:sz w:val="20"/>
                <w:rFonts w:eastAsia="宋体"/>
              </w:rPr>
              <w:t>红</w:t>
            </w:r>
          </w:p>
        </w:tc>
        <w:tc>
          <w:tcPr>
            <w:tcW w:type="dxa" w:w="1120"/>
          </w:tcPr>
          <w:p>
            <w:r/>
            <w:r>
              <w:rPr>
                <w:b/>
                <w:sz w:val="20"/>
                <w:rFonts w:eastAsia="宋体"/>
              </w:rPr>
              <w:t>黄</w:t>
            </w:r>
          </w:p>
        </w:tc>
        <w:tc>
          <w:tcPr>
            <w:tcW w:type="dxa" w:w="1120"/>
          </w:tcPr>
          <w:p>
            <w:r/>
            <w:r>
              <w:rPr>
                <w:b/>
                <w:sz w:val="20"/>
                <w:rFonts w:eastAsia="宋体"/>
              </w:rPr>
              <w:t>绿</w:t>
            </w:r>
          </w:p>
        </w:tc>
        <w:tc>
          <w:tcPr>
            <w:tcW w:type="dxa" w:w="1120"/>
          </w:tcPr>
          <w:p>
            <w:r/>
            <w:r>
              <w:rPr>
                <w:b/>
                <w:sz w:val="20"/>
                <w:rFonts w:eastAsia="宋体"/>
              </w:rPr>
              <w:t>未审查</w:t>
            </w:r>
          </w:p>
        </w:tc>
        <w:tc>
          <w:tcPr>
            <w:tcW w:type="dxa" w:w="1120"/>
          </w:tcPr>
          <w:p>
            <w:r/>
            <w:r>
              <w:rPr>
                <w:b/>
                <w:sz w:val="20"/>
                <w:rFonts w:eastAsia="宋体"/>
              </w:rPr>
              <w:t>未见此条</w:t>
            </w:r>
          </w:p>
        </w:tc>
        <w:tc>
          <w:tcPr>
            <w:tcW w:type="dxa" w:w="1120"/>
          </w:tcPr>
          <w:p>
            <w:r/>
            <w:r>
              <w:rPr>
                <w:b/>
                <w:sz w:val="20"/>
                <w:rFonts w:eastAsia="宋体"/>
              </w:rPr>
              <w:t>整份定级</w:t>
            </w:r>
          </w:p>
        </w:tc>
        <w:tc>
          <w:tcPr>
            <w:tcW w:type="dxa" w:w="1120"/>
          </w:tcPr>
          <w:p>
            <w:r/>
            <w:r>
              <w:rPr>
                <w:b/>
                <w:sz w:val="20"/>
                <w:rFonts w:eastAsia="宋体"/>
              </w:rPr>
              <w:t>判断不对</w:t>
            </w:r>
          </w:p>
        </w:tc>
      </w:tr>
      <w:tr>
        <w:tc>
          <w:tcPr>
            <w:tcW w:type="dxa" w:w="1120"/>
          </w:tcPr>
          <w:p>
            <w:r/>
            <w:r>
              <w:rPr>
                <w:sz w:val="20"/>
                <w:rFonts w:eastAsia="宋体"/>
              </w:rPr>
              <w:t>设备零部件采购合同</w:t>
            </w:r>
          </w:p>
        </w:tc>
        <w:tc>
          <w:tcPr>
            <w:tcW w:type="dxa" w:w="1120"/>
          </w:tcPr>
          <w:p>
            <w:r/>
            <w:r>
              <w:rPr>
                <w:sz w:val="20"/>
                <w:rFonts w:eastAsia="宋体"/>
              </w:rPr>
              <w:t>通过</w:t>
            </w:r>
          </w:p>
        </w:tc>
        <w:tc>
          <w:tcPr>
            <w:tcW w:type="dxa" w:w="1120"/>
          </w:tcPr>
          <w:p>
            <w:r/>
            <w:r>
              <w:rPr>
                <w:sz w:val="20"/>
                <w:rFonts w:eastAsia="宋体"/>
              </w:rPr>
              <w:t>5</w:t>
            </w:r>
          </w:p>
        </w:tc>
        <w:tc>
          <w:tcPr>
            <w:tcW w:type="dxa" w:w="1120"/>
          </w:tcPr>
          <w:p>
            <w:r/>
            <w:r>
              <w:rPr>
                <w:sz w:val="20"/>
                <w:rFonts w:eastAsia="宋体"/>
              </w:rPr>
              <w:t>3</w:t>
            </w:r>
          </w:p>
        </w:tc>
        <w:tc>
          <w:tcPr>
            <w:tcW w:type="dxa" w:w="1120"/>
          </w:tcPr>
          <w:p>
            <w:r/>
            <w:r>
              <w:rPr>
                <w:sz w:val="20"/>
                <w:rFonts w:eastAsia="宋体"/>
              </w:rPr>
              <w:t>15</w:t>
            </w:r>
          </w:p>
        </w:tc>
        <w:tc>
          <w:tcPr>
            <w:tcW w:type="dxa" w:w="1120"/>
          </w:tcPr>
          <w:p>
            <w:r/>
            <w:r>
              <w:rPr>
                <w:sz w:val="20"/>
                <w:rFonts w:eastAsia="宋体"/>
              </w:rPr>
              <w:t>0</w:t>
            </w:r>
          </w:p>
        </w:tc>
        <w:tc>
          <w:tcPr>
            <w:tcW w:type="dxa" w:w="1120"/>
          </w:tcPr>
          <w:p>
            <w:r/>
            <w:r>
              <w:rPr>
                <w:sz w:val="20"/>
                <w:rFonts w:eastAsia="宋体"/>
              </w:rPr>
              <w:t>0</w:t>
            </w:r>
          </w:p>
        </w:tc>
        <w:tc>
          <w:tcPr>
            <w:tcW w:type="dxa" w:w="1120"/>
          </w:tcPr>
          <w:p>
            <w:r/>
            <w:r>
              <w:rPr>
                <w:sz w:val="20"/>
                <w:rFonts w:eastAsia="宋体"/>
              </w:rPr>
              <w:t>红</w:t>
            </w:r>
          </w:p>
        </w:tc>
        <w:tc>
          <w:tcPr>
            <w:tcW w:type="dxa" w:w="1120"/>
          </w:tcPr>
          <w:p>
            <w:r/>
            <w:r>
              <w:rPr>
                <w:sz w:val="20"/>
                <w:rFonts w:eastAsia="宋体"/>
              </w:rPr>
              <w:t>0</w:t>
            </w:r>
          </w:p>
        </w:tc>
      </w:tr>
    </w:tbl>
    <w:p>
      <w:pPr>
        <w:spacing w:after="60" w:before="0"/>
      </w:pPr>
    </w:p>
    <w:p>
      <w:pPr>
        <w:spacing w:after="200" w:before="0"/>
      </w:pPr>
      <w:r>
        <w:rPr>
          <w:sz w:val="18"/>
          <w:rFonts w:eastAsia="宋体"/>
        </w:rPr>
        <w:t>红、黄、绿、未审查、未见此条为条数（未见此条不计红黄，不进整份定级）；“判断不对”为老板标记的条数。抽取失败的合同不从统计里删，标“未通过”并写原因。</w:t>
      </w:r>
    </w:p>
    <w:p>
      <w:pPr>
        <w:spacing w:after="240" w:before="0"/>
      </w:pPr>
      <w:r>
        <w:rPr>
          <w:rFonts w:eastAsia="宋体"/>
        </w:rPr>
        <w:t>客户签字：＿＿＿＿＿＿＿＿＿＿＿＿　　日期：＿＿＿＿＿＿＿＿</w:t>
      </w:r>
    </w:p>
    <w:p>
      <w:pPr>
        <w:spacing w:after="0" w:before="0"/>
      </w:pPr>
      <w:r>
        <w:rPr>
          <w:rFonts w:eastAsia="宋体"/>
        </w:rPr>
        <w:t>我方签字：＿＿＿＿＿＿＿＿＿＿＿＿　　日期：＿＿＿＿＿＿＿＿</w:t>
      </w:r>
    </w:p>
    <w:sectPr w:rsidR="00FC693F" w:rsidRPr="0006063C" w:rsidSect="0003461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宋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宋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宋体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