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B4433A"/>
          <w:sz w:val="22"/>
          <w:rFonts w:eastAsia="宋体"/>
        </w:rPr>
        <w:t>辅助初审，不构成法律意见；规则表为通用口径，未经律师审定；重要条款以律师意见为准。</w:t>
      </w:r>
    </w:p>
    <w:p>
      <w:pPr>
        <w:spacing w:after="80"/>
      </w:pPr>
      <w:r>
        <w:rPr>
          <w:color w:val="5B6B70"/>
          <w:sz w:val="20"/>
          <w:rFonts w:eastAsia="宋体"/>
        </w:rPr>
        <w:t>示例数据。公司与数字均为虚构。</w:t>
      </w:r>
    </w:p>
    <w:p>
      <w:pPr>
        <w:spacing w:after="80"/>
      </w:pPr>
      <w:r>
        <w:rPr>
          <w:b/>
          <w:sz w:val="32"/>
          <w:rFonts w:eastAsia="宋体"/>
        </w:rPr>
        <w:t>合同风险审查助手：批注版</w:t>
      </w:r>
    </w:p>
    <w:p>
      <w:pPr>
        <w:spacing w:after="80"/>
      </w:pPr>
      <w:r>
        <w:rPr>
          <w:rFonts w:eastAsia="宋体"/>
        </w:rPr>
        <w:t>合同：设备零部件采购合同</w:t>
      </w:r>
    </w:p>
    <w:p>
      <w:pPr>
        <w:spacing w:after="80"/>
      </w:pPr>
      <w:r>
        <w:rPr>
          <w:b/>
          <w:color w:val="B4433A"/>
          <w:rFonts w:eastAsia="宋体"/>
        </w:rPr>
        <w:t>本合同风险：红（整份取最高档，未见此条不计入）；红 5 项、黄 3 项、未见此条 0 项、未审查 0 项、绿 15 项。本次适用 22 条规则，共 23 项检查。</w:t>
      </w:r>
    </w:p>
    <w:p>
      <w:pPr>
        <w:spacing w:after="80"/>
      </w:pPr>
      <w:r>
        <w:rPr>
          <w:rFonts w:eastAsia="宋体"/>
        </w:rPr>
        <w:t>我方立场：买方（我方：甲方；对方：乙方）　合同金额：800,000 元</w:t>
      </w:r>
    </w:p>
    <w:p>
      <w:pPr>
        <w:spacing w:after="80"/>
      </w:pPr>
      <w:r>
        <w:rPr>
          <w:rFonts w:eastAsia="宋体"/>
        </w:rPr>
        <w:t>审查日期：2026年10月10日</w:t>
      </w:r>
    </w:p>
    <w:p>
      <w:pPr>
        <w:spacing w:after="80"/>
      </w:pPr>
      <w:r>
        <w:rPr>
          <w:rFonts w:eastAsia="宋体"/>
        </w:rPr>
        <w:t>本批注版含红、黄项：合同金额 800,000 元，达到律师复核金额门槛 500,000 元。共 8 条批注，批注作者“合同风险审查助手（辅助初审）”。</w:t>
      </w:r>
    </w:p>
    <w:p>
      <w:pPr>
        <w:spacing w:after="80"/>
      </w:pPr>
      <w:r>
        <w:rPr>
          <w:b/>
          <w:rFonts w:eastAsia="宋体"/>
        </w:rPr>
        <w:t>未审查的部分（系统没有读到或没能核对上，不能判为合格，需人工查看原文）：</w:t>
      </w:r>
    </w:p>
    <w:p>
      <w:pPr>
        <w:spacing w:after="80"/>
      </w:pPr>
      <w:r>
        <w:rPr>
          <w:rFonts w:eastAsia="宋体"/>
        </w:rPr>
        <w:t xml:space="preserve">　无。</w:t>
      </w:r>
    </w:p>
    <w:p>
      <w:pPr>
        <w:spacing w:after="80"/>
      </w:pPr>
      <w:r>
        <w:rPr>
          <w:b/>
          <w:rFonts w:eastAsia="宋体"/>
        </w:rPr>
        <w:t>未见此条（合同里没找到这一条。没写不等于没风险，要不要补由你们定，拿不准的问律师。只列名称，不写进正文批注）：</w:t>
      </w:r>
    </w:p>
    <w:p>
      <w:pPr>
        <w:spacing w:after="80"/>
      </w:pPr>
      <w:r>
        <w:rPr>
          <w:rFonts w:eastAsia="宋体"/>
        </w:rPr>
        <w:t xml:space="preserve">　无。</w:t>
      </w:r>
    </w:p>
    <w:p>
      <w:r>
        <w:br w:type="page"/>
      </w:r>
    </w:p>
    <w:p>
      <w:pPr>
        <w:pStyle w:val="Title"/>
      </w:pPr>
      <w:r>
        <w:t>设备零部件采购合同</w:t>
      </w:r>
    </w:p>
    <w:p>
      <w:pPr>
        <w:jc w:val="center"/>
      </w:pPr>
      <w:r>
        <w:t>（示例：当事人与数据均为虚构）</w:t>
      </w:r>
    </w:p>
    <w:p>
      <w:r>
        <w:t>合同编号：示例-CG-0001</w:t>
      </w:r>
    </w:p>
    <w:p>
      <w:r>
        <w:t>签订地：浙江省宁波市</w:t>
      </w:r>
    </w:p>
    <w:p>
      <w:r>
        <w:t>签订日期：2026年10月15日</w:t>
      </w:r>
    </w:p>
    <w:p>
      <w:r>
        <w:t>甲方（买方）：澄岳精密装备有限公司</w:t>
      </w:r>
    </w:p>
    <w:p>
      <w:pPr>
        <w:spacing w:after="0"/>
        <w:ind w:left="340"/>
      </w:pPr>
      <w:r>
        <w:t>住所：浙江省宁波市鄞州区创新三路 88 号</w:t>
      </w:r>
    </w:p>
    <w:p>
      <w:pPr>
        <w:spacing w:after="0"/>
        <w:ind w:left="340"/>
      </w:pPr>
      <w:r>
        <w:t>法定代表人：周启明</w:t>
      </w:r>
    </w:p>
    <w:p>
      <w:pPr>
        <w:spacing w:after="0"/>
        <w:ind w:left="340"/>
      </w:pPr>
      <w:r>
        <w:t>联系人：吴立群</w:t>
      </w:r>
    </w:p>
    <w:p>
      <w:pPr>
        <w:spacing w:after="0"/>
        <w:ind w:left="340"/>
      </w:pPr>
      <w:r>
        <w:t>电话：0574-5550-1001</w:t>
      </w:r>
    </w:p>
    <w:p>
      <w:pPr>
        <w:spacing w:after="0"/>
        <w:ind w:left="340"/>
      </w:pPr>
      <w:r>
        <w:t>电子邮箱：wuliqun@chengyue-demo.example</w:t>
      </w:r>
    </w:p>
    <w:p>
      <w:r>
        <w:t>乙方（卖方）：恒拓机械零部件有限公司</w:t>
      </w:r>
    </w:p>
    <w:p>
      <w:pPr>
        <w:spacing w:after="0"/>
        <w:ind w:left="340"/>
      </w:pPr>
      <w:r>
        <w:t>住所：山东省潍坊市奎文区工业园路 216 号</w:t>
      </w:r>
    </w:p>
    <w:p>
      <w:pPr>
        <w:spacing w:after="0"/>
        <w:ind w:left="340"/>
      </w:pPr>
      <w:r>
        <w:t>法定代表人：孙海涛</w:t>
      </w:r>
    </w:p>
    <w:p>
      <w:pPr>
        <w:spacing w:after="0"/>
        <w:ind w:left="340"/>
      </w:pPr>
      <w:r>
        <w:t>联系人：赵明轩</w:t>
      </w:r>
    </w:p>
    <w:p>
      <w:pPr>
        <w:spacing w:after="0"/>
        <w:ind w:left="340"/>
      </w:pPr>
      <w:r>
        <w:t>电话：0536-5550-2002</w:t>
      </w:r>
    </w:p>
    <w:p>
      <w:pPr>
        <w:spacing w:after="0"/>
        <w:ind w:left="340"/>
      </w:pPr>
      <w:r>
        <w:t>电子邮箱：zhaomx@hengtuo-demo.example</w:t>
      </w:r>
    </w:p>
    <w:p>
      <w:r>
        <w:t>甲方因生产需要向乙方采购机加工零部件，乙方同意供货。依据《中华人民共和国民法典》及相关法律法规，双方经平等协商，订立本合同，共同遵守。</w:t>
      </w:r>
    </w:p>
    <w:p>
      <w:pPr>
        <w:pStyle w:val="Heading2"/>
      </w:pPr>
      <w:r>
        <w:t>第一条 标的、规格与数量</w:t>
      </w:r>
    </w:p>
    <w:p>
      <w:r>
        <w:t>1.1 甲方向乙方采购的货物名称、型号规格、数量如下表。货物的材质、尺寸、公差、表面处理等技术要求以附件一《技术规格书》和附件二《图纸清单》为准。</w:t>
      </w:r>
    </w:p>
    <w:tbl>
      <w:tblPr>
        <w:tblStyle w:val="TableGrid"/>
        <w:tblW w:type="auto" w:w="0"/>
        <w:jc w:val="center"/>
        <w:tblLook w:firstColumn="1" w:firstRow="1" w:lastColumn="0" w:lastRow="0" w:noHBand="0" w:noVBand="1" w:val="04A0"/>
      </w:tblPr>
      <w:tblGrid>
        <w:gridCol w:w="1280"/>
        <w:gridCol w:w="1280"/>
        <w:gridCol w:w="1280"/>
        <w:gridCol w:w="1280"/>
        <w:gridCol w:w="1280"/>
        <w:gridCol w:w="1280"/>
        <w:gridCol w:w="1280"/>
      </w:tblGrid>
      <w:tr>
        <w:tc>
          <w:tcPr>
            <w:tcW w:type="dxa" w:w="624"/>
            <w:shd w:val="clear" w:color="auto" w:fill="EDEDED"/>
          </w:tcPr>
          <w:p>
            <w:pPr>
              <w:spacing w:after="20" w:line="276" w:lineRule="auto"/>
              <w:jc w:val="center"/>
            </w:pPr>
            <w:r/>
            <w:r>
              <w:rPr>
                <w:b/>
                <w:sz w:val="19"/>
              </w:rPr>
              <w:t>序号</w:t>
            </w:r>
          </w:p>
        </w:tc>
        <w:tc>
          <w:tcPr>
            <w:tcW w:type="dxa" w:w="1361"/>
            <w:shd w:val="clear" w:color="auto" w:fill="EDEDED"/>
          </w:tcPr>
          <w:p>
            <w:pPr>
              <w:spacing w:after="20" w:line="276" w:lineRule="auto"/>
              <w:jc w:val="center"/>
            </w:pPr>
            <w:r/>
            <w:r>
              <w:rPr>
                <w:b/>
                <w:sz w:val="19"/>
              </w:rPr>
              <w:t>品名</w:t>
            </w:r>
          </w:p>
        </w:tc>
        <w:tc>
          <w:tcPr>
            <w:tcW w:type="dxa" w:w="1247"/>
            <w:shd w:val="clear" w:color="auto" w:fill="EDEDED"/>
          </w:tcPr>
          <w:p>
            <w:pPr>
              <w:spacing w:after="20" w:line="276" w:lineRule="auto"/>
              <w:jc w:val="center"/>
            </w:pPr>
            <w:r/>
            <w:r>
              <w:rPr>
                <w:b/>
                <w:sz w:val="19"/>
              </w:rPr>
              <w:t>型号</w:t>
            </w:r>
          </w:p>
        </w:tc>
        <w:tc>
          <w:tcPr>
            <w:tcW w:type="dxa" w:w="1474"/>
            <w:shd w:val="clear" w:color="auto" w:fill="EDEDED"/>
          </w:tcPr>
          <w:p>
            <w:pPr>
              <w:spacing w:after="20" w:line="276" w:lineRule="auto"/>
              <w:jc w:val="center"/>
            </w:pPr>
            <w:r/>
            <w:r>
              <w:rPr>
                <w:b/>
                <w:sz w:val="19"/>
              </w:rPr>
              <w:t>材质</w:t>
            </w:r>
          </w:p>
        </w:tc>
        <w:tc>
          <w:tcPr>
            <w:tcW w:type="dxa" w:w="1134"/>
            <w:shd w:val="clear" w:color="auto" w:fill="EDEDED"/>
          </w:tcPr>
          <w:p>
            <w:pPr>
              <w:spacing w:after="20" w:line="276" w:lineRule="auto"/>
              <w:jc w:val="center"/>
            </w:pPr>
            <w:r/>
            <w:r>
              <w:rPr>
                <w:b/>
                <w:sz w:val="19"/>
              </w:rPr>
              <w:t>数量（件）</w:t>
            </w:r>
          </w:p>
        </w:tc>
        <w:tc>
          <w:tcPr>
            <w:tcW w:type="dxa" w:w="1587"/>
            <w:shd w:val="clear" w:color="auto" w:fill="EDEDED"/>
          </w:tcPr>
          <w:p>
            <w:pPr>
              <w:spacing w:after="20" w:line="276" w:lineRule="auto"/>
              <w:jc w:val="center"/>
            </w:pPr>
            <w:r/>
            <w:r>
              <w:rPr>
                <w:b/>
                <w:sz w:val="19"/>
              </w:rPr>
              <w:t>单价（元，含税）</w:t>
            </w:r>
          </w:p>
        </w:tc>
        <w:tc>
          <w:tcPr>
            <w:tcW w:type="dxa" w:w="1701"/>
            <w:shd w:val="clear" w:color="auto" w:fill="EDEDED"/>
          </w:tcPr>
          <w:p>
            <w:pPr>
              <w:spacing w:after="20" w:line="276" w:lineRule="auto"/>
              <w:jc w:val="center"/>
            </w:pPr>
            <w:r/>
            <w:r>
              <w:rPr>
                <w:b/>
                <w:sz w:val="19"/>
              </w:rPr>
              <w:t>金额（元，含税）</w:t>
            </w:r>
          </w:p>
        </w:tc>
      </w:tr>
      <w:tr>
        <w:tc>
          <w:tcPr>
            <w:tcW w:type="dxa" w:w="624"/>
          </w:tcPr>
          <w:p>
            <w:pPr>
              <w:spacing w:after="20" w:line="276" w:lineRule="auto"/>
            </w:pPr>
            <w:r/>
            <w:r>
              <w:rPr>
                <w:sz w:val="19"/>
              </w:rPr>
              <w:t>1</w:t>
            </w:r>
          </w:p>
        </w:tc>
        <w:tc>
          <w:tcPr>
            <w:tcW w:type="dxa" w:w="1361"/>
          </w:tcPr>
          <w:p>
            <w:pPr>
              <w:spacing w:after="20" w:line="276" w:lineRule="auto"/>
            </w:pPr>
            <w:r/>
            <w:r>
              <w:rPr>
                <w:sz w:val="19"/>
              </w:rPr>
              <w:t>主轴箱体</w:t>
            </w:r>
          </w:p>
        </w:tc>
        <w:tc>
          <w:tcPr>
            <w:tcW w:type="dxa" w:w="1247"/>
          </w:tcPr>
          <w:p>
            <w:pPr>
              <w:spacing w:after="20" w:line="276" w:lineRule="auto"/>
            </w:pPr>
            <w:r/>
            <w:r>
              <w:rPr>
                <w:sz w:val="19"/>
              </w:rPr>
              <w:t>ZX-A100</w:t>
            </w:r>
          </w:p>
        </w:tc>
        <w:tc>
          <w:tcPr>
            <w:tcW w:type="dxa" w:w="1474"/>
          </w:tcPr>
          <w:p>
            <w:pPr>
              <w:spacing w:after="20" w:line="276" w:lineRule="auto"/>
            </w:pPr>
            <w:r/>
            <w:r>
              <w:rPr>
                <w:sz w:val="19"/>
              </w:rPr>
              <w:t>HT250</w:t>
            </w:r>
          </w:p>
        </w:tc>
        <w:tc>
          <w:tcPr>
            <w:tcW w:type="dxa" w:w="1134"/>
          </w:tcPr>
          <w:p>
            <w:pPr>
              <w:spacing w:after="20" w:line="276" w:lineRule="auto"/>
            </w:pPr>
            <w:r/>
            <w:r>
              <w:rPr>
                <w:sz w:val="19"/>
              </w:rPr>
              <w:t>40</w:t>
            </w:r>
          </w:p>
        </w:tc>
        <w:tc>
          <w:tcPr>
            <w:tcW w:type="dxa" w:w="1587"/>
          </w:tcPr>
          <w:p>
            <w:pPr>
              <w:spacing w:after="20" w:line="276" w:lineRule="auto"/>
            </w:pPr>
            <w:r/>
            <w:r>
              <w:rPr>
                <w:sz w:val="19"/>
              </w:rPr>
              <w:t>6,000.00</w:t>
            </w:r>
          </w:p>
        </w:tc>
        <w:tc>
          <w:tcPr>
            <w:tcW w:type="dxa" w:w="1701"/>
          </w:tcPr>
          <w:p>
            <w:pPr>
              <w:spacing w:after="20" w:line="276" w:lineRule="auto"/>
            </w:pPr>
            <w:r/>
            <w:r>
              <w:rPr>
                <w:sz w:val="19"/>
              </w:rPr>
              <w:t>240,000.00</w:t>
            </w:r>
          </w:p>
        </w:tc>
      </w:tr>
      <w:tr>
        <w:tc>
          <w:tcPr>
            <w:tcW w:type="dxa" w:w="624"/>
          </w:tcPr>
          <w:p>
            <w:pPr>
              <w:spacing w:after="20" w:line="276" w:lineRule="auto"/>
            </w:pPr>
            <w:r/>
            <w:r>
              <w:rPr>
                <w:sz w:val="19"/>
              </w:rPr>
              <w:t>2</w:t>
            </w:r>
          </w:p>
        </w:tc>
        <w:tc>
          <w:tcPr>
            <w:tcW w:type="dxa" w:w="1361"/>
          </w:tcPr>
          <w:p>
            <w:pPr>
              <w:spacing w:after="20" w:line="276" w:lineRule="auto"/>
            </w:pPr>
            <w:r/>
            <w:r>
              <w:rPr>
                <w:sz w:val="19"/>
              </w:rPr>
              <w:t>传动法兰</w:t>
            </w:r>
          </w:p>
        </w:tc>
        <w:tc>
          <w:tcPr>
            <w:tcW w:type="dxa" w:w="1247"/>
          </w:tcPr>
          <w:p>
            <w:pPr>
              <w:spacing w:after="20" w:line="276" w:lineRule="auto"/>
            </w:pPr>
            <w:r/>
            <w:r>
              <w:rPr>
                <w:sz w:val="19"/>
              </w:rPr>
              <w:t>ZX-B220</w:t>
            </w:r>
          </w:p>
        </w:tc>
        <w:tc>
          <w:tcPr>
            <w:tcW w:type="dxa" w:w="1474"/>
          </w:tcPr>
          <w:p>
            <w:pPr>
              <w:spacing w:after="20" w:line="276" w:lineRule="auto"/>
            </w:pPr>
            <w:r/>
            <w:r>
              <w:rPr>
                <w:sz w:val="19"/>
              </w:rPr>
              <w:t>45 号钢调质</w:t>
            </w:r>
          </w:p>
        </w:tc>
        <w:tc>
          <w:tcPr>
            <w:tcW w:type="dxa" w:w="1134"/>
          </w:tcPr>
          <w:p>
            <w:pPr>
              <w:spacing w:after="20" w:line="276" w:lineRule="auto"/>
            </w:pPr>
            <w:r/>
            <w:r>
              <w:rPr>
                <w:sz w:val="19"/>
              </w:rPr>
              <w:t>200</w:t>
            </w:r>
          </w:p>
        </w:tc>
        <w:tc>
          <w:tcPr>
            <w:tcW w:type="dxa" w:w="1587"/>
          </w:tcPr>
          <w:p>
            <w:pPr>
              <w:spacing w:after="20" w:line="276" w:lineRule="auto"/>
            </w:pPr>
            <w:r/>
            <w:r>
              <w:rPr>
                <w:sz w:val="19"/>
              </w:rPr>
              <w:t>1,200.00</w:t>
            </w:r>
          </w:p>
        </w:tc>
        <w:tc>
          <w:tcPr>
            <w:tcW w:type="dxa" w:w="1701"/>
          </w:tcPr>
          <w:p>
            <w:pPr>
              <w:spacing w:after="20" w:line="276" w:lineRule="auto"/>
            </w:pPr>
            <w:r/>
            <w:r>
              <w:rPr>
                <w:sz w:val="19"/>
              </w:rPr>
              <w:t>240,000.00</w:t>
            </w:r>
          </w:p>
        </w:tc>
      </w:tr>
      <w:tr>
        <w:tc>
          <w:tcPr>
            <w:tcW w:type="dxa" w:w="624"/>
          </w:tcPr>
          <w:p>
            <w:pPr>
              <w:spacing w:after="20" w:line="276" w:lineRule="auto"/>
            </w:pPr>
            <w:r/>
            <w:r>
              <w:rPr>
                <w:sz w:val="19"/>
              </w:rPr>
              <w:t>3</w:t>
            </w:r>
          </w:p>
        </w:tc>
        <w:tc>
          <w:tcPr>
            <w:tcW w:type="dxa" w:w="1361"/>
          </w:tcPr>
          <w:p>
            <w:pPr>
              <w:spacing w:after="20" w:line="276" w:lineRule="auto"/>
            </w:pPr>
            <w:r/>
            <w:r>
              <w:rPr>
                <w:sz w:val="19"/>
              </w:rPr>
              <w:t>导轨座</w:t>
            </w:r>
          </w:p>
        </w:tc>
        <w:tc>
          <w:tcPr>
            <w:tcW w:type="dxa" w:w="1247"/>
          </w:tcPr>
          <w:p>
            <w:pPr>
              <w:spacing w:after="20" w:line="276" w:lineRule="auto"/>
            </w:pPr>
            <w:r/>
            <w:r>
              <w:rPr>
                <w:sz w:val="19"/>
              </w:rPr>
              <w:t>ZX-C310</w:t>
            </w:r>
          </w:p>
        </w:tc>
        <w:tc>
          <w:tcPr>
            <w:tcW w:type="dxa" w:w="1474"/>
          </w:tcPr>
          <w:p>
            <w:pPr>
              <w:spacing w:after="20" w:line="276" w:lineRule="auto"/>
            </w:pPr>
            <w:r/>
            <w:r>
              <w:rPr>
                <w:sz w:val="19"/>
              </w:rPr>
              <w:t>HT250</w:t>
            </w:r>
          </w:p>
        </w:tc>
        <w:tc>
          <w:tcPr>
            <w:tcW w:type="dxa" w:w="1134"/>
          </w:tcPr>
          <w:p>
            <w:pPr>
              <w:spacing w:after="20" w:line="276" w:lineRule="auto"/>
            </w:pPr>
            <w:r/>
            <w:r>
              <w:rPr>
                <w:sz w:val="19"/>
              </w:rPr>
              <w:t>100</w:t>
            </w:r>
          </w:p>
        </w:tc>
        <w:tc>
          <w:tcPr>
            <w:tcW w:type="dxa" w:w="1587"/>
          </w:tcPr>
          <w:p>
            <w:pPr>
              <w:spacing w:after="20" w:line="276" w:lineRule="auto"/>
            </w:pPr>
            <w:r/>
            <w:r>
              <w:rPr>
                <w:sz w:val="19"/>
              </w:rPr>
              <w:t>1,600.00</w:t>
            </w:r>
          </w:p>
        </w:tc>
        <w:tc>
          <w:tcPr>
            <w:tcW w:type="dxa" w:w="1701"/>
          </w:tcPr>
          <w:p>
            <w:pPr>
              <w:spacing w:after="20" w:line="276" w:lineRule="auto"/>
            </w:pPr>
            <w:r/>
            <w:r>
              <w:rPr>
                <w:sz w:val="19"/>
              </w:rPr>
              <w:t>160,000.00</w:t>
            </w:r>
          </w:p>
        </w:tc>
      </w:tr>
      <w:tr>
        <w:tc>
          <w:tcPr>
            <w:tcW w:type="dxa" w:w="624"/>
          </w:tcPr>
          <w:p>
            <w:pPr>
              <w:spacing w:after="20" w:line="276" w:lineRule="auto"/>
            </w:pPr>
            <w:r/>
            <w:r>
              <w:rPr>
                <w:sz w:val="19"/>
              </w:rPr>
              <w:t>4</w:t>
            </w:r>
          </w:p>
        </w:tc>
        <w:tc>
          <w:tcPr>
            <w:tcW w:type="dxa" w:w="1361"/>
          </w:tcPr>
          <w:p>
            <w:pPr>
              <w:spacing w:after="20" w:line="276" w:lineRule="auto"/>
            </w:pPr>
            <w:r/>
            <w:r>
              <w:rPr>
                <w:sz w:val="19"/>
              </w:rPr>
              <w:t>联接盘</w:t>
            </w:r>
          </w:p>
        </w:tc>
        <w:tc>
          <w:tcPr>
            <w:tcW w:type="dxa" w:w="1247"/>
          </w:tcPr>
          <w:p>
            <w:pPr>
              <w:spacing w:after="20" w:line="276" w:lineRule="auto"/>
            </w:pPr>
            <w:r/>
            <w:r>
              <w:rPr>
                <w:sz w:val="19"/>
              </w:rPr>
              <w:t>ZX-D405</w:t>
            </w:r>
          </w:p>
        </w:tc>
        <w:tc>
          <w:tcPr>
            <w:tcW w:type="dxa" w:w="1474"/>
          </w:tcPr>
          <w:p>
            <w:pPr>
              <w:spacing w:after="20" w:line="276" w:lineRule="auto"/>
            </w:pPr>
            <w:r/>
            <w:r>
              <w:rPr>
                <w:sz w:val="19"/>
              </w:rPr>
              <w:t>45 号钢调质</w:t>
            </w:r>
          </w:p>
        </w:tc>
        <w:tc>
          <w:tcPr>
            <w:tcW w:type="dxa" w:w="1134"/>
          </w:tcPr>
          <w:p>
            <w:pPr>
              <w:spacing w:after="20" w:line="276" w:lineRule="auto"/>
            </w:pPr>
            <w:r/>
            <w:r>
              <w:rPr>
                <w:sz w:val="19"/>
              </w:rPr>
              <w:t>160</w:t>
            </w:r>
          </w:p>
        </w:tc>
        <w:tc>
          <w:tcPr>
            <w:tcW w:type="dxa" w:w="1587"/>
          </w:tcPr>
          <w:p>
            <w:pPr>
              <w:spacing w:after="20" w:line="276" w:lineRule="auto"/>
            </w:pPr>
            <w:r/>
            <w:r>
              <w:rPr>
                <w:sz w:val="19"/>
              </w:rPr>
              <w:t>1,000.00</w:t>
            </w:r>
          </w:p>
        </w:tc>
        <w:tc>
          <w:tcPr>
            <w:tcW w:type="dxa" w:w="1701"/>
          </w:tcPr>
          <w:p>
            <w:pPr>
              <w:spacing w:after="20" w:line="276" w:lineRule="auto"/>
            </w:pPr>
            <w:r/>
            <w:r>
              <w:rPr>
                <w:sz w:val="19"/>
              </w:rPr>
              <w:t>160,000.00</w:t>
            </w:r>
          </w:p>
        </w:tc>
      </w:tr>
      <w:tr>
        <w:tc>
          <w:tcPr>
            <w:tcW w:type="dxa" w:w="624"/>
          </w:tcPr>
          <w:p>
            <w:pPr>
              <w:spacing w:after="20" w:line="276" w:lineRule="auto"/>
            </w:pPr>
            <w:r/>
            <w:r>
              <w:rPr>
                <w:sz w:val="19"/>
              </w:rPr>
            </w:r>
          </w:p>
        </w:tc>
        <w:tc>
          <w:tcPr>
            <w:tcW w:type="dxa" w:w="1361"/>
          </w:tcPr>
          <w:p>
            <w:pPr>
              <w:spacing w:after="20" w:line="276" w:lineRule="auto"/>
            </w:pPr>
            <w:r/>
            <w:r>
              <w:rPr>
                <w:sz w:val="19"/>
              </w:rPr>
              <w:t>合计</w:t>
            </w:r>
          </w:p>
        </w:tc>
        <w:tc>
          <w:tcPr>
            <w:tcW w:type="dxa" w:w="1247"/>
          </w:tcPr>
          <w:p>
            <w:pPr>
              <w:spacing w:after="20" w:line="276" w:lineRule="auto"/>
            </w:pPr>
            <w:r/>
            <w:r>
              <w:rPr>
                <w:sz w:val="19"/>
              </w:rPr>
            </w:r>
          </w:p>
        </w:tc>
        <w:tc>
          <w:tcPr>
            <w:tcW w:type="dxa" w:w="1474"/>
          </w:tcPr>
          <w:p>
            <w:pPr>
              <w:spacing w:after="20" w:line="276" w:lineRule="auto"/>
            </w:pPr>
            <w:r/>
            <w:r>
              <w:rPr>
                <w:sz w:val="19"/>
              </w:rPr>
            </w:r>
          </w:p>
        </w:tc>
        <w:tc>
          <w:tcPr>
            <w:tcW w:type="dxa" w:w="1134"/>
          </w:tcPr>
          <w:p>
            <w:pPr>
              <w:spacing w:after="20" w:line="276" w:lineRule="auto"/>
            </w:pPr>
            <w:r/>
            <w:r>
              <w:rPr>
                <w:sz w:val="19"/>
              </w:rPr>
              <w:t>500</w:t>
            </w:r>
          </w:p>
        </w:tc>
        <w:tc>
          <w:tcPr>
            <w:tcW w:type="dxa" w:w="1587"/>
          </w:tcPr>
          <w:p>
            <w:pPr>
              <w:spacing w:after="20" w:line="276" w:lineRule="auto"/>
            </w:pPr>
            <w:r/>
            <w:r>
              <w:rPr>
                <w:sz w:val="19"/>
              </w:rPr>
            </w:r>
          </w:p>
        </w:tc>
        <w:tc>
          <w:tcPr>
            <w:tcW w:type="dxa" w:w="1701"/>
          </w:tcPr>
          <w:p>
            <w:pPr>
              <w:spacing w:after="20" w:line="276" w:lineRule="auto"/>
            </w:pPr>
            <w:r/>
            <w:r>
              <w:rPr>
                <w:sz w:val="19"/>
              </w:rPr>
              <w:t>800,000.00</w:t>
            </w:r>
          </w:p>
        </w:tc>
      </w:tr>
    </w:tbl>
    <w:p>
      <w:pPr>
        <w:spacing w:after="40"/>
      </w:pPr>
    </w:p>
    <w:p>
      <w:r>
        <w:t>1.2 技术标准：未注公差按 GB/T 1804-m 执行；灰铸铁件按 GB/T 9439 执行，45 号钢按 GB/T 699 执行；货物不得使用再生料或来源不明的材料。</w:t>
      </w:r>
    </w:p>
    <w:p>
      <w:pPr>
        <w:pStyle w:val="Heading2"/>
      </w:pPr>
      <w:r>
        <w:t>第二条 合同价款、币种与发票</w:t>
      </w:r>
    </w:p>
    <w:p>
      <w:r>
        <w:t>2.1 合同总价为人民币 800,000.00 元（币种：人民币，大写：捌拾万元整），为含税价，适用增值税税率 13%，其中不含税金额 707,964.60 元，税额 92,035.40 元。</w:t>
      </w:r>
    </w:p>
    <w:p>
      <w:r>
        <w:t>2.2 上述价格包含货物、包装、运输至交货地点的费用及乙方应承担的全部税费，除本合同另有约定外，甲方无需另行支付任何费用。</w:t>
      </w:r>
    </w:p>
    <w:p>
      <w:r>
        <w:t>2.3 乙方应向甲方开具合法有效的增值税专用发票，并应于每批货物交付后 7 日内开具并送达甲方；发票抬头、税号、品名与合同一致。发票有误的，乙方应在 3 日内重开。</w:t>
      </w:r>
    </w:p>
    <w:p>
      <w:pPr>
        <w:pStyle w:val="Heading2"/>
      </w:pPr>
      <w:r>
        <w:t>第三条 付款方式</w:t>
      </w:r>
    </w:p>
    <w:p>
      <w:commentRangeStart w:id="1"/>
      <w:r>
        <w:t>3.1 合同签订后 5 日内，甲方向乙方支付合同总价的 50% 作为预付款，即人民币 400,000.00 元。</w:t>
      </w:r>
      <w:commentRangeEnd w:id="1"/>
      <w:r>
        <w:rPr>
          <w:rStyle w:val="CommentReference"/>
        </w:rPr>
        <w:commentReference w:id="1"/>
      </w:r>
    </w:p>
    <w:p>
      <w:r>
        <w:t>3.2 货物全部验收合格且甲方收到合法有效的增值税专用发票后 30 日内，甲方支付合同总价的 50%，即人民币 400,000.00 元。</w:t>
      </w:r>
    </w:p>
    <w:p>
      <w:r>
        <w:t>3.3 甲方可从应付款项中直接扣除乙方依本合同应支付的违约金、赔偿金及其他应付款项，并书面通知乙方；扣除不影响甲方主张其他权利。</w:t>
      </w:r>
    </w:p>
    <w:p>
      <w:r>
        <w:t>3.4 甲方通过银行转账方式付款，乙方收款账户为：户名恒拓机械零部件有限公司，开户行及账号以乙方书面提供并加盖公章的收款账户确认函为准。</w:t>
      </w:r>
    </w:p>
    <w:p>
      <w:pPr>
        <w:pStyle w:val="Heading2"/>
      </w:pPr>
      <w:r>
        <w:t>第四条 交付</w:t>
      </w:r>
    </w:p>
    <w:p>
      <w:r>
        <w:t>4.1 交货地点：浙江省宁波市鄞州区创新三路 88 号甲方仓库。乙方负责运输，运费已含在合同价款中。</w:t>
      </w:r>
    </w:p>
    <w:p>
      <w:r>
        <w:t>4.2 交货时间：第一批（主轴箱体、传动法兰）于 2026 年 12 月 15 日前交付；第二批（导轨座、联接盘）于 2027 年 2 月 15 日前交付。乙方应提前 3 日书面通知甲方具体到货时间。</w:t>
      </w:r>
    </w:p>
    <w:p>
      <w:r>
        <w:t>4.3 货物由甲方仓库人员核对数量和外包装后在送货单上签收；签收凭证为盖有甲方仓库章或由仓库人员签字的送货单，送货单一式二份，双方各执一份。</w:t>
      </w:r>
    </w:p>
    <w:p>
      <w:r>
        <w:t>4.4 货物毁损、灭失的风险自甲方签收之时起转移至甲方；签收之前的风险由乙方承担。</w:t>
      </w:r>
    </w:p>
    <w:p>
      <w:pPr>
        <w:pStyle w:val="Heading2"/>
      </w:pPr>
      <w:r>
        <w:t>第五条 质量要求</w:t>
      </w:r>
    </w:p>
    <w:p>
      <w:r>
        <w:t>5.1 货物应符合附件一《技术规格书》、附件二《图纸清单》及第一条约定的技术标准，并附出厂检验报告和材质证明。</w:t>
      </w:r>
    </w:p>
    <w:p>
      <w:commentRangeStart w:id="7"/>
      <w:r>
        <w:t>5.2 其余质量要求另见乙方《供应商质量协议》。</w:t>
      </w:r>
      <w:commentRangeEnd w:id="7"/>
      <w:r>
        <w:rPr>
          <w:rStyle w:val="CommentReference"/>
        </w:rPr>
        <w:commentReference w:id="7"/>
      </w:r>
    </w:p>
    <w:p>
      <w:r>
        <w:t>5.3 乙方应对生产过程中的关键尺寸进行全检，并保存检验记录至少 3 年；甲方有权在乙方工作时间内到乙方厂区查看生产和检验情况。</w:t>
      </w:r>
    </w:p>
    <w:p>
      <w:pPr>
        <w:pStyle w:val="Heading2"/>
      </w:pPr>
      <w:r>
        <w:t>第六条 验收</w:t>
      </w:r>
    </w:p>
    <w:p>
      <w:r>
        <w:t>6.1 验收标准：以附件一、附件二和第一条约定的技术标准为准。验收方法：数量和外观全数检查；尺寸和材质按 GB/T 2828.1 一般检验水平 II、AQL 1.0 抽样检验，必要时由甲方指定的第三方检测机构检测，检测费用由责任方承担。</w:t>
      </w:r>
    </w:p>
    <w:p>
      <w:commentRangeStart w:id="2"/>
      <w:r>
        <w:t>6.2 甲方应在货物到货后 3 日内对货物的数量、外观进行检验，到货后 3 日内未书面提出异议的，视为验收合格。</w:t>
      </w:r>
      <w:commentRangeEnd w:id="2"/>
      <w:r>
        <w:rPr>
          <w:rStyle w:val="CommentReference"/>
        </w:rPr>
        <w:commentReference w:id="2"/>
      </w:r>
    </w:p>
    <w:p>
      <w:r>
        <w:t>6.3 对在使用、装配过程中才能发现的隐蔽缺陷，甲方可在货物签收后 6 个月内向乙方提出异议，乙方应在收到异议后 7 日内处理。</w:t>
      </w:r>
    </w:p>
    <w:p>
      <w:r>
        <w:t>6.4 甲方提出异议的形式包括书面函件和发送至乙方指定电子邮箱的电子邮件，电子邮件异议同样有效。</w:t>
      </w:r>
    </w:p>
    <w:p>
      <w:r>
        <w:t>6.5 验收合格不免除乙方依本合同承担的质保责任。</w:t>
      </w:r>
    </w:p>
    <w:p>
      <w:pPr>
        <w:pStyle w:val="Heading2"/>
      </w:pPr>
      <w:r>
        <w:t>第七条 质量保证</w:t>
      </w:r>
    </w:p>
    <w:p>
      <w:commentRangeStart w:id="3"/>
      <w:r>
        <w:t>7.1 质保期为 12 个月，自货物安装调试完成之日起算。</w:t>
      </w:r>
      <w:commentRangeEnd w:id="3"/>
      <w:r>
        <w:rPr>
          <w:rStyle w:val="CommentReference"/>
        </w:rPr>
        <w:commentReference w:id="3"/>
      </w:r>
    </w:p>
    <w:p>
      <w:r>
        <w:t>7.2 质保期内，货物因设计图纸以外的制造缺陷、材质缺陷导致无法正常使用的，乙方应在接到通知后 7 日内免费修理、更换或退货，由此产生的运输和拆装费用由乙方承担。</w:t>
      </w:r>
    </w:p>
    <w:p>
      <w:r>
        <w:t>7.3 下列情形不属于质保范围：（1）因甲方或第三方人为损坏、不当使用造成的故障；（2）正常磨损和消耗；（3）未经乙方同意擅自改装造成的故障。</w:t>
      </w:r>
    </w:p>
    <w:p>
      <w:pPr>
        <w:pStyle w:val="Heading2"/>
      </w:pPr>
      <w:r>
        <w:t>第八条 知识产权与图纸</w:t>
      </w:r>
    </w:p>
    <w:p>
      <w:r>
        <w:t>8.1 甲方提供的图纸、技术资料及由此产生的工艺文件的知识产权归甲方所有，乙方仅限为履行本合同使用，未经甲方书面同意不得向任何第三方提供或用于其他产品。</w:t>
      </w:r>
    </w:p>
    <w:p>
      <w:r>
        <w:t>8.2 乙方为本合同专门制作、由甲方出资的工装和检具归甲方所有，合同终止后乙方应在 10 日内交还或按甲方指示处置。</w:t>
      </w:r>
    </w:p>
    <w:p>
      <w:r>
        <w:t>8.3 乙方保证交付的货物不侵犯任何第三方的知识产权；因侵权引起的第三方索赔由乙方处理并承担责任，责任限额适用第九条的约定。</w:t>
      </w:r>
    </w:p>
    <w:p>
      <w:pPr>
        <w:pStyle w:val="Heading2"/>
      </w:pPr>
      <w:r>
        <w:t>第九条 违约责任</w:t>
      </w:r>
    </w:p>
    <w:p>
      <w:commentRangeStart w:id="4"/>
      <w:commentRangeStart w:id="5"/>
      <w:r>
        <w:t>9.1 甲方逾期付款的，每逾期一日，按逾期未付金额的千分之三向乙方支付违约金。</w:t>
      </w:r>
      <w:commentRangeEnd w:id="4"/>
      <w:r>
        <w:rPr>
          <w:rStyle w:val="CommentReference"/>
        </w:rPr>
        <w:commentReference w:id="4"/>
      </w:r>
      <w:commentRangeEnd w:id="5"/>
      <w:r>
        <w:rPr>
          <w:rStyle w:val="CommentReference"/>
        </w:rPr>
        <w:commentReference w:id="5"/>
      </w:r>
    </w:p>
    <w:p>
      <w:r>
        <w:t>9.2 乙方迟延交货或交付不合格货物的，每逾期一日按迟延部分货款的万分之五向甲方支付违约金，乙方违约金累计不超过合同总额的 5%。</w:t>
      </w:r>
    </w:p>
    <w:p>
      <w:r>
        <w:t>9.3 任何一方依本合同承担的赔偿责任（不含违约金）累计不超过合同总价的 10%，且不包括间接损失和可得利益损失。</w:t>
      </w:r>
    </w:p>
    <w:p>
      <w:r>
        <w:t>9.4 守约方因对方违约遭受的损失超出违约金的，可在前款限额内要求赔偿。</w:t>
      </w:r>
    </w:p>
    <w:p>
      <w:pPr>
        <w:pStyle w:val="Heading2"/>
      </w:pPr>
      <w:r>
        <w:t>第十条 保密</w:t>
      </w:r>
    </w:p>
    <w:p>
      <w:r>
        <w:t>10.1 双方对在本合同订立和履行过程中知悉的对方技术资料、价格、客户信息及其他商业秘密负有保密义务，未经对方书面同意，不得向任何第三方披露，也不得用于本合同以外的目的。</w:t>
      </w:r>
    </w:p>
    <w:p>
      <w:r>
        <w:t>10.2 保密期限自本合同签订之日起至合同终止或履行完毕后3 年止。</w:t>
      </w:r>
    </w:p>
    <w:p>
      <w:r>
        <w:t>10.3 下列信息不属于保密信息：（1）披露时已为公众所知或非因接收方过错而成为公开的信息；（2）接收方在披露前已合法掌握的信息；（3）接收方独立开发且未使用对方保密信息的信息；（4）从有权披露的第三方合法取得的信息；（5）依法律法规、司法机关或监管机构要求必须披露的信息。</w:t>
      </w:r>
    </w:p>
    <w:p>
      <w:r>
        <w:t>10.4 接收方仅可向因履行本合同确需知悉的员工、专业顾问披露保密信息，并应确保其承担不低于本条的保密义务。</w:t>
      </w:r>
    </w:p>
    <w:p>
      <w:pPr>
        <w:pStyle w:val="Heading2"/>
      </w:pPr>
      <w:r>
        <w:t>第十一条 合同解除</w:t>
      </w:r>
    </w:p>
    <w:p>
      <w:r>
        <w:t>11.1 经双方协商一致，可以书面解除本合同。</w:t>
      </w:r>
    </w:p>
    <w:p>
      <w:r>
        <w:t>11.2 一方违反本合同约定，经守约方书面催告后 15 日内仍未改正的，守约方有权书面通知对方解除本合同。</w:t>
      </w:r>
    </w:p>
    <w:p>
      <w:r>
        <w:t>11.3 任何一方提前解除本合同的，应提前 30 日书面通知对方；解除后，双方就已交付货物结算，甲方应对乙方已为本合同投入且已按图纸完成的在制品、备料按成本价合理补偿，但因乙方违约解除的除外。</w:t>
      </w:r>
    </w:p>
    <w:p>
      <w:pPr>
        <w:pStyle w:val="Heading2"/>
      </w:pPr>
      <w:r>
        <w:t>第十二条 不可抗力</w:t>
      </w:r>
    </w:p>
    <w:p>
      <w:r>
        <w:t>12.1 不可抗力是指不能预见、不能避免且不能克服的客观情况，包括地震、台风、洪水等自然灾害，战争、政府行为、新的法律法规或政策调整，疫情防控措施，以及因政府统一调度导致的限电、限产。</w:t>
      </w:r>
    </w:p>
    <w:p>
      <w:r>
        <w:t>12.2 遭遇不可抗力的一方应在事件发生后 5 日内书面通知对方，并在事件发生后 15 日内提供有关部门出具的证明或其他合理证明材料，同时采取措施减轻损失。</w:t>
      </w:r>
    </w:p>
    <w:p>
      <w:r>
        <w:t>12.3 因不可抗力不能履行或不能完全履行合同的，可根据影响程度部分或全部免除责任，但迟延履行后发生不可抗力的除外。</w:t>
      </w:r>
    </w:p>
    <w:p>
      <w:r>
        <w:t>12.4 不可抗力持续超过 60 日的，任何一方均有权书面通知对方解除本合同，双方互不承担违约责任，并就已履行部分进行结算。</w:t>
      </w:r>
    </w:p>
    <w:p>
      <w:pPr>
        <w:pStyle w:val="Heading2"/>
      </w:pPr>
      <w:r>
        <w:t>第十三条 通知与送达</w:t>
      </w:r>
    </w:p>
    <w:p>
      <w:r>
        <w:t>13.1 双方确认的送达地址、联系人及电子邮箱如下：甲方：浙江省宁波市鄞州区创新三路 88 号，联系人吴立群，电子邮箱wuliqun@chengyue-demo.example；乙方：山东省潍坊市奎文区工业园路 216 号，联系人赵明轩，电子邮箱zhaomx@hengtuo-demo.example。</w:t>
      </w:r>
    </w:p>
    <w:p>
      <w:r>
        <w:t>13.2 任何一方变更送达地址、联系人或电子邮箱的，应提前 5 日书面通知对方；未及时通知的，按原地址送达，由变更方承担由此产生的后果。</w:t>
      </w:r>
    </w:p>
    <w:p>
      <w:r>
        <w:t>13.3 与本合同履行有关的通知、函件以书面形式作出。书面通知经专人送达或快递寄出后第 3 日视为送达；以电子邮件发送至上述电子邮箱的，邮件发出之日视为送达。</w:t>
      </w:r>
    </w:p>
    <w:p>
      <w:r>
        <w:t>13.4 微信、短信等即时通讯方式仅用于日常沟通，不作为变更合同、解除合同或提出异议的有效形式，但双方另以书面确认的除外。</w:t>
      </w:r>
    </w:p>
    <w:p>
      <w:pPr>
        <w:pStyle w:val="Heading2"/>
      </w:pPr>
      <w:r>
        <w:t>第十四条 争议解决</w:t>
      </w:r>
    </w:p>
    <w:p>
      <w:commentRangeStart w:id="6"/>
      <w:r>
        <w:t>14.1 因本合同引起的争议，双方应友好协商；协商不成的，提交乙方所在地山东省潍坊市奎文区人民法院诉讼解决。</w:t>
      </w:r>
      <w:commentRangeEnd w:id="6"/>
      <w:r>
        <w:rPr>
          <w:rStyle w:val="CommentReference"/>
        </w:rPr>
        <w:commentReference w:id="6"/>
      </w:r>
    </w:p>
    <w:p>
      <w:r>
        <w:t>14.2 争议解决期间，双方应继续履行合同中不涉及争议的部分。</w:t>
      </w:r>
    </w:p>
    <w:p>
      <w:pPr>
        <w:pStyle w:val="Heading2"/>
      </w:pPr>
      <w:r>
        <w:t>第十五条 合同期限</w:t>
      </w:r>
    </w:p>
    <w:p>
      <w:r>
        <w:t>15.1 本合同有效期自 2026 年 10 月 15 日起至 2027 年 12 月 31 日止；质保、保密及争议解决条款在合同期限届满后继续有效。</w:t>
      </w:r>
    </w:p>
    <w:p>
      <w:r>
        <w:t>15.2 合同期满后如需续约，须双方另行书面同意，不因继续履行而自动续期。</w:t>
      </w:r>
    </w:p>
    <w:p>
      <w:pPr>
        <w:pStyle w:val="Heading2"/>
      </w:pPr>
      <w:r>
        <w:t>第十六条 文件优先顺序与其他</w:t>
      </w:r>
    </w:p>
    <w:p>
      <w:r>
        <w:t>16.1 本合同由正文及附件一《技术规格书》、附件二《图纸清单》组成。各部分不一致的，按正文、附件一、附件二的顺序确定优先适用。</w:t>
      </w:r>
    </w:p>
    <w:p>
      <w:r>
        <w:t>16.2 本合同的变更和补充须经双方书面确认。</w:t>
      </w:r>
    </w:p>
    <w:p>
      <w:r>
        <w:t>16.3 本合同一式二份，双方各执一份，具有同等法律效力。</w:t>
      </w:r>
    </w:p>
    <w:p>
      <w:pPr>
        <w:pStyle w:val="Heading2"/>
      </w:pPr>
      <w:r>
        <w:t>第十七条 合同生效</w:t>
      </w:r>
    </w:p>
    <w:p>
      <w:r>
        <w:t>17.1 本合同自甲方法定代表人签字并加盖公章、乙方销售经理赵明轩签字并加盖合同专用章之日起生效。</w:t>
      </w:r>
    </w:p>
    <w:p>
      <w:pPr>
        <w:spacing w:before="280"/>
        <w:jc w:val="center"/>
      </w:pPr>
      <w:r>
        <w:t>（以下无正文）</w:t>
      </w:r>
    </w:p>
    <w:p>
      <w:pPr>
        <w:spacing w:before="160"/>
      </w:pPr>
      <w:r>
        <w:t>甲方（盖章）：澄岳精密装备有限公司</w:t>
      </w:r>
    </w:p>
    <w:p>
      <w:r>
        <w:t>盖章：[公章]</w:t>
      </w:r>
    </w:p>
    <w:p>
      <w:r>
        <w:t>签字：周启明（法定代表人）</w:t>
      </w:r>
    </w:p>
    <w:p>
      <w:r>
        <w:t>日期：2026年10月15日</w:t>
      </w:r>
    </w:p>
    <w:p>
      <w:pPr>
        <w:spacing w:before="160"/>
      </w:pPr>
      <w:r>
        <w:t>乙方（盖章）：恒拓机械零部件有限公司</w:t>
      </w:r>
    </w:p>
    <w:p>
      <w:r>
        <w:t>盖章：[合同专用章]</w:t>
      </w:r>
    </w:p>
    <w:p>
      <w:commentRangeStart w:id="0"/>
      <w:r>
        <w:t>签字：赵明轩（销售经理）</w:t>
      </w:r>
      <w:commentRangeEnd w:id="0"/>
      <w:r>
        <w:rPr>
          <w:rStyle w:val="CommentReference"/>
        </w:rPr>
        <w:commentReference w:id="0"/>
      </w:r>
    </w:p>
    <w:p>
      <w:r>
        <w:t>日期：2026年10月15日</w:t>
      </w:r>
    </w:p>
    <w:p>
      <w:pPr>
        <w:pStyle w:val="Heading1"/>
      </w:pPr>
      <w:r>
        <w:t>附件一 技术规格书</w:t>
      </w:r>
    </w:p>
    <w:p>
      <w:r>
        <w:t>本附件为合同组成部分，列明各型号货物的主要技术要求。</w:t>
      </w:r>
    </w:p>
    <w:tbl>
      <w:tblPr>
        <w:tblStyle w:val="TableGrid"/>
        <w:tblW w:type="auto" w:w="0"/>
        <w:jc w:val="center"/>
        <w:tblLook w:firstColumn="1" w:firstRow="1" w:lastColumn="0" w:lastRow="0" w:noHBand="0" w:noVBand="1" w:val="04A0"/>
      </w:tblPr>
      <w:tblGrid>
        <w:gridCol w:w="1493"/>
        <w:gridCol w:w="1493"/>
        <w:gridCol w:w="1493"/>
        <w:gridCol w:w="1493"/>
        <w:gridCol w:w="1493"/>
        <w:gridCol w:w="1493"/>
      </w:tblGrid>
      <w:tr>
        <w:tc>
          <w:tcPr>
            <w:tcW w:type="dxa" w:w="1020"/>
            <w:shd w:val="clear" w:color="auto" w:fill="EDEDED"/>
          </w:tcPr>
          <w:p>
            <w:pPr>
              <w:spacing w:after="20" w:line="276" w:lineRule="auto"/>
              <w:jc w:val="center"/>
            </w:pPr>
            <w:r/>
            <w:r>
              <w:rPr>
                <w:b/>
                <w:sz w:val="19"/>
              </w:rPr>
              <w:t>型号</w:t>
            </w:r>
          </w:p>
        </w:tc>
        <w:tc>
          <w:tcPr>
            <w:tcW w:type="dxa" w:w="1020"/>
            <w:shd w:val="clear" w:color="auto" w:fill="EDEDED"/>
          </w:tcPr>
          <w:p>
            <w:pPr>
              <w:spacing w:after="20" w:line="276" w:lineRule="auto"/>
              <w:jc w:val="center"/>
            </w:pPr>
            <w:r/>
            <w:r>
              <w:rPr>
                <w:b/>
                <w:sz w:val="19"/>
              </w:rPr>
              <w:t>品名</w:t>
            </w:r>
          </w:p>
        </w:tc>
        <w:tc>
          <w:tcPr>
            <w:tcW w:type="dxa" w:w="1701"/>
            <w:shd w:val="clear" w:color="auto" w:fill="EDEDED"/>
          </w:tcPr>
          <w:p>
            <w:pPr>
              <w:spacing w:after="20" w:line="276" w:lineRule="auto"/>
              <w:jc w:val="center"/>
            </w:pPr>
            <w:r/>
            <w:r>
              <w:rPr>
                <w:b/>
                <w:sz w:val="19"/>
              </w:rPr>
              <w:t>材质与热处理</w:t>
            </w:r>
          </w:p>
        </w:tc>
        <w:tc>
          <w:tcPr>
            <w:tcW w:type="dxa" w:w="2268"/>
            <w:shd w:val="clear" w:color="auto" w:fill="EDEDED"/>
          </w:tcPr>
          <w:p>
            <w:pPr>
              <w:spacing w:after="20" w:line="276" w:lineRule="auto"/>
              <w:jc w:val="center"/>
            </w:pPr>
            <w:r/>
            <w:r>
              <w:rPr>
                <w:b/>
                <w:sz w:val="19"/>
              </w:rPr>
              <w:t>关键尺寸与公差</w:t>
            </w:r>
          </w:p>
        </w:tc>
        <w:tc>
          <w:tcPr>
            <w:tcW w:type="dxa" w:w="1928"/>
            <w:shd w:val="clear" w:color="auto" w:fill="EDEDED"/>
          </w:tcPr>
          <w:p>
            <w:pPr>
              <w:spacing w:after="20" w:line="276" w:lineRule="auto"/>
              <w:jc w:val="center"/>
            </w:pPr>
            <w:r/>
            <w:r>
              <w:rPr>
                <w:b/>
                <w:sz w:val="19"/>
              </w:rPr>
              <w:t>表面与外观</w:t>
            </w:r>
          </w:p>
        </w:tc>
        <w:tc>
          <w:tcPr>
            <w:tcW w:type="dxa" w:w="1871"/>
            <w:shd w:val="clear" w:color="auto" w:fill="EDEDED"/>
          </w:tcPr>
          <w:p>
            <w:pPr>
              <w:spacing w:after="20" w:line="276" w:lineRule="auto"/>
              <w:jc w:val="center"/>
            </w:pPr>
            <w:r/>
            <w:r>
              <w:rPr>
                <w:b/>
                <w:sz w:val="19"/>
              </w:rPr>
              <w:t>检验依据</w:t>
            </w:r>
          </w:p>
        </w:tc>
      </w:tr>
      <w:tr>
        <w:tc>
          <w:tcPr>
            <w:tcW w:type="dxa" w:w="1020"/>
          </w:tcPr>
          <w:p>
            <w:pPr>
              <w:spacing w:after="20" w:line="276" w:lineRule="auto"/>
            </w:pPr>
            <w:r/>
            <w:r>
              <w:rPr>
                <w:sz w:val="19"/>
              </w:rPr>
              <w:t>ZX-A100</w:t>
            </w:r>
          </w:p>
        </w:tc>
        <w:tc>
          <w:tcPr>
            <w:tcW w:type="dxa" w:w="1020"/>
          </w:tcPr>
          <w:p>
            <w:pPr>
              <w:spacing w:after="20" w:line="276" w:lineRule="auto"/>
            </w:pPr>
            <w:r/>
            <w:r>
              <w:rPr>
                <w:sz w:val="19"/>
              </w:rPr>
              <w:t>主轴箱体</w:t>
            </w:r>
          </w:p>
        </w:tc>
        <w:tc>
          <w:tcPr>
            <w:tcW w:type="dxa" w:w="1701"/>
          </w:tcPr>
          <w:p>
            <w:pPr>
              <w:spacing w:after="20" w:line="276" w:lineRule="auto"/>
            </w:pPr>
            <w:r/>
            <w:r>
              <w:rPr>
                <w:sz w:val="19"/>
              </w:rPr>
              <w:t>HT250，时效处理</w:t>
            </w:r>
          </w:p>
        </w:tc>
        <w:tc>
          <w:tcPr>
            <w:tcW w:type="dxa" w:w="2268"/>
          </w:tcPr>
          <w:p>
            <w:pPr>
              <w:spacing w:after="20" w:line="276" w:lineRule="auto"/>
            </w:pPr>
            <w:r/>
            <w:r>
              <w:rPr>
                <w:sz w:val="19"/>
              </w:rPr>
              <w:t>主轴孔 Φ80H7，同轴度 0.02 mm</w:t>
            </w:r>
          </w:p>
        </w:tc>
        <w:tc>
          <w:tcPr>
            <w:tcW w:type="dxa" w:w="1928"/>
          </w:tcPr>
          <w:p>
            <w:pPr>
              <w:spacing w:after="20" w:line="276" w:lineRule="auto"/>
            </w:pPr>
            <w:r/>
            <w:r>
              <w:rPr>
                <w:sz w:val="19"/>
              </w:rPr>
              <w:t>非加工面喷底漆，无砂眼、缩松</w:t>
            </w:r>
          </w:p>
        </w:tc>
        <w:tc>
          <w:tcPr>
            <w:tcW w:type="dxa" w:w="1871"/>
          </w:tcPr>
          <w:p>
            <w:pPr>
              <w:spacing w:after="20" w:line="276" w:lineRule="auto"/>
            </w:pPr>
            <w:r/>
            <w:r>
              <w:rPr>
                <w:sz w:val="19"/>
              </w:rPr>
              <w:t>GB/T 9439，GB/T 1804-m</w:t>
            </w:r>
          </w:p>
        </w:tc>
      </w:tr>
      <w:tr>
        <w:tc>
          <w:tcPr>
            <w:tcW w:type="dxa" w:w="1020"/>
          </w:tcPr>
          <w:p>
            <w:pPr>
              <w:spacing w:after="20" w:line="276" w:lineRule="auto"/>
            </w:pPr>
            <w:r/>
            <w:r>
              <w:rPr>
                <w:sz w:val="19"/>
              </w:rPr>
              <w:t>ZX-B220</w:t>
            </w:r>
          </w:p>
        </w:tc>
        <w:tc>
          <w:tcPr>
            <w:tcW w:type="dxa" w:w="1020"/>
          </w:tcPr>
          <w:p>
            <w:pPr>
              <w:spacing w:after="20" w:line="276" w:lineRule="auto"/>
            </w:pPr>
            <w:r/>
            <w:r>
              <w:rPr>
                <w:sz w:val="19"/>
              </w:rPr>
              <w:t>传动法兰</w:t>
            </w:r>
          </w:p>
        </w:tc>
        <w:tc>
          <w:tcPr>
            <w:tcW w:type="dxa" w:w="1701"/>
          </w:tcPr>
          <w:p>
            <w:pPr>
              <w:spacing w:after="20" w:line="276" w:lineRule="auto"/>
            </w:pPr>
            <w:r/>
            <w:r>
              <w:rPr>
                <w:sz w:val="19"/>
              </w:rPr>
              <w:t>45 号钢，调质 HB220-250</w:t>
            </w:r>
          </w:p>
        </w:tc>
        <w:tc>
          <w:tcPr>
            <w:tcW w:type="dxa" w:w="2268"/>
          </w:tcPr>
          <w:p>
            <w:pPr>
              <w:spacing w:after="20" w:line="276" w:lineRule="auto"/>
            </w:pPr>
            <w:r/>
            <w:r>
              <w:rPr>
                <w:sz w:val="19"/>
              </w:rPr>
              <w:t>外径 Φ160h8，端面跳动 0.03 mm</w:t>
            </w:r>
          </w:p>
        </w:tc>
        <w:tc>
          <w:tcPr>
            <w:tcW w:type="dxa" w:w="1928"/>
          </w:tcPr>
          <w:p>
            <w:pPr>
              <w:spacing w:after="20" w:line="276" w:lineRule="auto"/>
            </w:pPr>
            <w:r/>
            <w:r>
              <w:rPr>
                <w:sz w:val="19"/>
              </w:rPr>
              <w:t>发黑处理，无锈蚀、磕碰</w:t>
            </w:r>
          </w:p>
        </w:tc>
        <w:tc>
          <w:tcPr>
            <w:tcW w:type="dxa" w:w="1871"/>
          </w:tcPr>
          <w:p>
            <w:pPr>
              <w:spacing w:after="20" w:line="276" w:lineRule="auto"/>
            </w:pPr>
            <w:r/>
            <w:r>
              <w:rPr>
                <w:sz w:val="19"/>
              </w:rPr>
              <w:t>GB/T 699，GB/T 1804-m</w:t>
            </w:r>
          </w:p>
        </w:tc>
      </w:tr>
      <w:tr>
        <w:tc>
          <w:tcPr>
            <w:tcW w:type="dxa" w:w="1020"/>
          </w:tcPr>
          <w:p>
            <w:pPr>
              <w:spacing w:after="20" w:line="276" w:lineRule="auto"/>
            </w:pPr>
            <w:r/>
            <w:r>
              <w:rPr>
                <w:sz w:val="19"/>
              </w:rPr>
              <w:t>ZX-C310</w:t>
            </w:r>
          </w:p>
        </w:tc>
        <w:tc>
          <w:tcPr>
            <w:tcW w:type="dxa" w:w="1020"/>
          </w:tcPr>
          <w:p>
            <w:pPr>
              <w:spacing w:after="20" w:line="276" w:lineRule="auto"/>
            </w:pPr>
            <w:r/>
            <w:r>
              <w:rPr>
                <w:sz w:val="19"/>
              </w:rPr>
              <w:t>导轨座</w:t>
            </w:r>
          </w:p>
        </w:tc>
        <w:tc>
          <w:tcPr>
            <w:tcW w:type="dxa" w:w="1701"/>
          </w:tcPr>
          <w:p>
            <w:pPr>
              <w:spacing w:after="20" w:line="276" w:lineRule="auto"/>
            </w:pPr>
            <w:r/>
            <w:r>
              <w:rPr>
                <w:sz w:val="19"/>
              </w:rPr>
              <w:t>HT250，时效处理</w:t>
            </w:r>
          </w:p>
        </w:tc>
        <w:tc>
          <w:tcPr>
            <w:tcW w:type="dxa" w:w="2268"/>
          </w:tcPr>
          <w:p>
            <w:pPr>
              <w:spacing w:after="20" w:line="276" w:lineRule="auto"/>
            </w:pPr>
            <w:r/>
            <w:r>
              <w:rPr>
                <w:sz w:val="19"/>
              </w:rPr>
              <w:t>导轨面平面度 0.02 mm/300 mm</w:t>
            </w:r>
          </w:p>
        </w:tc>
        <w:tc>
          <w:tcPr>
            <w:tcW w:type="dxa" w:w="1928"/>
          </w:tcPr>
          <w:p>
            <w:pPr>
              <w:spacing w:after="20" w:line="276" w:lineRule="auto"/>
            </w:pPr>
            <w:r/>
            <w:r>
              <w:rPr>
                <w:sz w:val="19"/>
              </w:rPr>
              <w:t>导轨面粗糙度 Ra1.6</w:t>
            </w:r>
          </w:p>
        </w:tc>
        <w:tc>
          <w:tcPr>
            <w:tcW w:type="dxa" w:w="1871"/>
          </w:tcPr>
          <w:p>
            <w:pPr>
              <w:spacing w:after="20" w:line="276" w:lineRule="auto"/>
            </w:pPr>
            <w:r/>
            <w:r>
              <w:rPr>
                <w:sz w:val="19"/>
              </w:rPr>
              <w:t>GB/T 9439，GB/T 1184</w:t>
            </w:r>
          </w:p>
        </w:tc>
      </w:tr>
      <w:tr>
        <w:tc>
          <w:tcPr>
            <w:tcW w:type="dxa" w:w="1020"/>
          </w:tcPr>
          <w:p>
            <w:pPr>
              <w:spacing w:after="20" w:line="276" w:lineRule="auto"/>
            </w:pPr>
            <w:r/>
            <w:r>
              <w:rPr>
                <w:sz w:val="19"/>
              </w:rPr>
              <w:t>ZX-D405</w:t>
            </w:r>
          </w:p>
        </w:tc>
        <w:tc>
          <w:tcPr>
            <w:tcW w:type="dxa" w:w="1020"/>
          </w:tcPr>
          <w:p>
            <w:pPr>
              <w:spacing w:after="20" w:line="276" w:lineRule="auto"/>
            </w:pPr>
            <w:r/>
            <w:r>
              <w:rPr>
                <w:sz w:val="19"/>
              </w:rPr>
              <w:t>联接盘</w:t>
            </w:r>
          </w:p>
        </w:tc>
        <w:tc>
          <w:tcPr>
            <w:tcW w:type="dxa" w:w="1701"/>
          </w:tcPr>
          <w:p>
            <w:pPr>
              <w:spacing w:after="20" w:line="276" w:lineRule="auto"/>
            </w:pPr>
            <w:r/>
            <w:r>
              <w:rPr>
                <w:sz w:val="19"/>
              </w:rPr>
              <w:t>45 号钢，调质 HB220-250</w:t>
            </w:r>
          </w:p>
        </w:tc>
        <w:tc>
          <w:tcPr>
            <w:tcW w:type="dxa" w:w="2268"/>
          </w:tcPr>
          <w:p>
            <w:pPr>
              <w:spacing w:after="20" w:line="276" w:lineRule="auto"/>
            </w:pPr>
            <w:r/>
            <w:r>
              <w:rPr>
                <w:sz w:val="19"/>
              </w:rPr>
              <w:t>孔位度 Φ0.05 mm，厚度 20±0.05 mm</w:t>
            </w:r>
          </w:p>
        </w:tc>
        <w:tc>
          <w:tcPr>
            <w:tcW w:type="dxa" w:w="1928"/>
          </w:tcPr>
          <w:p>
            <w:pPr>
              <w:spacing w:after="20" w:line="276" w:lineRule="auto"/>
            </w:pPr>
            <w:r/>
            <w:r>
              <w:rPr>
                <w:sz w:val="19"/>
              </w:rPr>
              <w:t>发黑处理，边缘去毛刺</w:t>
            </w:r>
          </w:p>
        </w:tc>
        <w:tc>
          <w:tcPr>
            <w:tcW w:type="dxa" w:w="1871"/>
          </w:tcPr>
          <w:p>
            <w:pPr>
              <w:spacing w:after="20" w:line="276" w:lineRule="auto"/>
            </w:pPr>
            <w:r/>
            <w:r>
              <w:rPr>
                <w:sz w:val="19"/>
              </w:rPr>
              <w:t>GB/T 699，GB/T 1804-m</w:t>
            </w:r>
          </w:p>
        </w:tc>
      </w:tr>
    </w:tbl>
    <w:p>
      <w:pPr>
        <w:spacing w:after="40"/>
      </w:pPr>
    </w:p>
    <w:p>
      <w:r>
        <w:t>包装要求：每件单独防锈包装，外箱标注型号、数量、批次；木箱须经熏蒸或使用免熏蒸材料。出厂时随货提供材质证明、热处理报告和关键尺寸检验记录。</w:t>
      </w:r>
    </w:p>
    <w:p>
      <w:pPr>
        <w:pStyle w:val="Heading1"/>
      </w:pPr>
      <w:r>
        <w:t>附件二 图纸清单</w:t>
      </w:r>
    </w:p>
    <w:tbl>
      <w:tblPr>
        <w:tblStyle w:val="TableGrid"/>
        <w:tblW w:type="auto" w:w="0"/>
        <w:jc w:val="center"/>
        <w:tblLook w:firstColumn="1" w:firstRow="1" w:lastColumn="0" w:lastRow="0" w:noHBand="0" w:noVBand="1" w:val="04A0"/>
      </w:tblPr>
      <w:tblGrid>
        <w:gridCol w:w="1792"/>
        <w:gridCol w:w="1792"/>
        <w:gridCol w:w="1792"/>
        <w:gridCol w:w="1792"/>
        <w:gridCol w:w="1792"/>
      </w:tblGrid>
      <w:tr>
        <w:tc>
          <w:tcPr>
            <w:tcW w:type="dxa" w:w="2041"/>
            <w:shd w:val="clear" w:color="auto" w:fill="EDEDED"/>
          </w:tcPr>
          <w:p>
            <w:pPr>
              <w:spacing w:after="20" w:line="276" w:lineRule="auto"/>
              <w:jc w:val="center"/>
            </w:pPr>
            <w:r/>
            <w:r>
              <w:rPr>
                <w:b/>
                <w:sz w:val="19"/>
              </w:rPr>
              <w:t>图纸编号</w:t>
            </w:r>
          </w:p>
        </w:tc>
        <w:tc>
          <w:tcPr>
            <w:tcW w:type="dxa" w:w="2268"/>
            <w:shd w:val="clear" w:color="auto" w:fill="EDEDED"/>
          </w:tcPr>
          <w:p>
            <w:pPr>
              <w:spacing w:after="20" w:line="276" w:lineRule="auto"/>
              <w:jc w:val="center"/>
            </w:pPr>
            <w:r/>
            <w:r>
              <w:rPr>
                <w:b/>
                <w:sz w:val="19"/>
              </w:rPr>
              <w:t>名称</w:t>
            </w:r>
          </w:p>
        </w:tc>
        <w:tc>
          <w:tcPr>
            <w:tcW w:type="dxa" w:w="907"/>
            <w:shd w:val="clear" w:color="auto" w:fill="EDEDED"/>
          </w:tcPr>
          <w:p>
            <w:pPr>
              <w:spacing w:after="20" w:line="276" w:lineRule="auto"/>
              <w:jc w:val="center"/>
            </w:pPr>
            <w:r/>
            <w:r>
              <w:rPr>
                <w:b/>
                <w:sz w:val="19"/>
              </w:rPr>
              <w:t>版本</w:t>
            </w:r>
          </w:p>
        </w:tc>
        <w:tc>
          <w:tcPr>
            <w:tcW w:type="dxa" w:w="1701"/>
            <w:shd w:val="clear" w:color="auto" w:fill="EDEDED"/>
          </w:tcPr>
          <w:p>
            <w:pPr>
              <w:spacing w:after="20" w:line="276" w:lineRule="auto"/>
              <w:jc w:val="center"/>
            </w:pPr>
            <w:r/>
            <w:r>
              <w:rPr>
                <w:b/>
                <w:sz w:val="19"/>
              </w:rPr>
              <w:t>对应型号</w:t>
            </w:r>
          </w:p>
        </w:tc>
        <w:tc>
          <w:tcPr>
            <w:tcW w:type="dxa" w:w="907"/>
            <w:shd w:val="clear" w:color="auto" w:fill="EDEDED"/>
          </w:tcPr>
          <w:p>
            <w:pPr>
              <w:spacing w:after="20" w:line="276" w:lineRule="auto"/>
              <w:jc w:val="center"/>
            </w:pPr>
            <w:r/>
            <w:r>
              <w:rPr>
                <w:b/>
                <w:sz w:val="19"/>
              </w:rPr>
              <w:t>页数</w:t>
            </w:r>
          </w:p>
        </w:tc>
      </w:tr>
      <w:tr>
        <w:tc>
          <w:tcPr>
            <w:tcW w:type="dxa" w:w="2041"/>
          </w:tcPr>
          <w:p>
            <w:pPr>
              <w:spacing w:after="20" w:line="276" w:lineRule="auto"/>
            </w:pPr>
            <w:r/>
            <w:r>
              <w:rPr>
                <w:sz w:val="19"/>
              </w:rPr>
              <w:t>CY-ZX-A100-01</w:t>
            </w:r>
          </w:p>
        </w:tc>
        <w:tc>
          <w:tcPr>
            <w:tcW w:type="dxa" w:w="2268"/>
          </w:tcPr>
          <w:p>
            <w:pPr>
              <w:spacing w:after="20" w:line="276" w:lineRule="auto"/>
            </w:pPr>
            <w:r/>
            <w:r>
              <w:rPr>
                <w:sz w:val="19"/>
              </w:rPr>
              <w:t>主轴箱体加工图</w:t>
            </w:r>
          </w:p>
        </w:tc>
        <w:tc>
          <w:tcPr>
            <w:tcW w:type="dxa" w:w="907"/>
          </w:tcPr>
          <w:p>
            <w:pPr>
              <w:spacing w:after="20" w:line="276" w:lineRule="auto"/>
            </w:pPr>
            <w:r/>
            <w:r>
              <w:rPr>
                <w:sz w:val="19"/>
              </w:rPr>
              <w:t>C</w:t>
            </w:r>
          </w:p>
        </w:tc>
        <w:tc>
          <w:tcPr>
            <w:tcW w:type="dxa" w:w="1701"/>
          </w:tcPr>
          <w:p>
            <w:pPr>
              <w:spacing w:after="20" w:line="276" w:lineRule="auto"/>
            </w:pPr>
            <w:r/>
            <w:r>
              <w:rPr>
                <w:sz w:val="19"/>
              </w:rPr>
              <w:t>ZX-A100</w:t>
            </w:r>
          </w:p>
        </w:tc>
        <w:tc>
          <w:tcPr>
            <w:tcW w:type="dxa" w:w="907"/>
          </w:tcPr>
          <w:p>
            <w:pPr>
              <w:spacing w:after="20" w:line="276" w:lineRule="auto"/>
            </w:pPr>
            <w:r/>
            <w:r>
              <w:rPr>
                <w:sz w:val="19"/>
              </w:rPr>
              <w:t>3</w:t>
            </w:r>
          </w:p>
        </w:tc>
      </w:tr>
      <w:tr>
        <w:tc>
          <w:tcPr>
            <w:tcW w:type="dxa" w:w="2041"/>
          </w:tcPr>
          <w:p>
            <w:pPr>
              <w:spacing w:after="20" w:line="276" w:lineRule="auto"/>
            </w:pPr>
            <w:r/>
            <w:r>
              <w:rPr>
                <w:sz w:val="19"/>
              </w:rPr>
              <w:t>CY-ZX-B220-01</w:t>
            </w:r>
          </w:p>
        </w:tc>
        <w:tc>
          <w:tcPr>
            <w:tcW w:type="dxa" w:w="2268"/>
          </w:tcPr>
          <w:p>
            <w:pPr>
              <w:spacing w:after="20" w:line="276" w:lineRule="auto"/>
            </w:pPr>
            <w:r/>
            <w:r>
              <w:rPr>
                <w:sz w:val="19"/>
              </w:rPr>
              <w:t>传动法兰加工图</w:t>
            </w:r>
          </w:p>
        </w:tc>
        <w:tc>
          <w:tcPr>
            <w:tcW w:type="dxa" w:w="907"/>
          </w:tcPr>
          <w:p>
            <w:pPr>
              <w:spacing w:after="20" w:line="276" w:lineRule="auto"/>
            </w:pPr>
            <w:r/>
            <w:r>
              <w:rPr>
                <w:sz w:val="19"/>
              </w:rPr>
              <w:t>B</w:t>
            </w:r>
          </w:p>
        </w:tc>
        <w:tc>
          <w:tcPr>
            <w:tcW w:type="dxa" w:w="1701"/>
          </w:tcPr>
          <w:p>
            <w:pPr>
              <w:spacing w:after="20" w:line="276" w:lineRule="auto"/>
            </w:pPr>
            <w:r/>
            <w:r>
              <w:rPr>
                <w:sz w:val="19"/>
              </w:rPr>
              <w:t>ZX-B220</w:t>
            </w:r>
          </w:p>
        </w:tc>
        <w:tc>
          <w:tcPr>
            <w:tcW w:type="dxa" w:w="907"/>
          </w:tcPr>
          <w:p>
            <w:pPr>
              <w:spacing w:after="20" w:line="276" w:lineRule="auto"/>
            </w:pPr>
            <w:r/>
            <w:r>
              <w:rPr>
                <w:sz w:val="19"/>
              </w:rPr>
              <w:t>1</w:t>
            </w:r>
          </w:p>
        </w:tc>
      </w:tr>
      <w:tr>
        <w:tc>
          <w:tcPr>
            <w:tcW w:type="dxa" w:w="2041"/>
          </w:tcPr>
          <w:p>
            <w:pPr>
              <w:spacing w:after="20" w:line="276" w:lineRule="auto"/>
            </w:pPr>
            <w:r/>
            <w:r>
              <w:rPr>
                <w:sz w:val="19"/>
              </w:rPr>
              <w:t>CY-ZX-C310-01</w:t>
            </w:r>
          </w:p>
        </w:tc>
        <w:tc>
          <w:tcPr>
            <w:tcW w:type="dxa" w:w="2268"/>
          </w:tcPr>
          <w:p>
            <w:pPr>
              <w:spacing w:after="20" w:line="276" w:lineRule="auto"/>
            </w:pPr>
            <w:r/>
            <w:r>
              <w:rPr>
                <w:sz w:val="19"/>
              </w:rPr>
              <w:t>导轨座加工图</w:t>
            </w:r>
          </w:p>
        </w:tc>
        <w:tc>
          <w:tcPr>
            <w:tcW w:type="dxa" w:w="907"/>
          </w:tcPr>
          <w:p>
            <w:pPr>
              <w:spacing w:after="20" w:line="276" w:lineRule="auto"/>
            </w:pPr>
            <w:r/>
            <w:r>
              <w:rPr>
                <w:sz w:val="19"/>
              </w:rPr>
              <w:t>B</w:t>
            </w:r>
          </w:p>
        </w:tc>
        <w:tc>
          <w:tcPr>
            <w:tcW w:type="dxa" w:w="1701"/>
          </w:tcPr>
          <w:p>
            <w:pPr>
              <w:spacing w:after="20" w:line="276" w:lineRule="auto"/>
            </w:pPr>
            <w:r/>
            <w:r>
              <w:rPr>
                <w:sz w:val="19"/>
              </w:rPr>
              <w:t>ZX-C310</w:t>
            </w:r>
          </w:p>
        </w:tc>
        <w:tc>
          <w:tcPr>
            <w:tcW w:type="dxa" w:w="907"/>
          </w:tcPr>
          <w:p>
            <w:pPr>
              <w:spacing w:after="20" w:line="276" w:lineRule="auto"/>
            </w:pPr>
            <w:r/>
            <w:r>
              <w:rPr>
                <w:sz w:val="19"/>
              </w:rPr>
              <w:t>2</w:t>
            </w:r>
          </w:p>
        </w:tc>
      </w:tr>
      <w:tr>
        <w:tc>
          <w:tcPr>
            <w:tcW w:type="dxa" w:w="2041"/>
          </w:tcPr>
          <w:p>
            <w:pPr>
              <w:spacing w:after="20" w:line="276" w:lineRule="auto"/>
            </w:pPr>
            <w:r/>
            <w:r>
              <w:rPr>
                <w:sz w:val="19"/>
              </w:rPr>
              <w:t>CY-ZX-D405-01</w:t>
            </w:r>
          </w:p>
        </w:tc>
        <w:tc>
          <w:tcPr>
            <w:tcW w:type="dxa" w:w="2268"/>
          </w:tcPr>
          <w:p>
            <w:pPr>
              <w:spacing w:after="20" w:line="276" w:lineRule="auto"/>
            </w:pPr>
            <w:r/>
            <w:r>
              <w:rPr>
                <w:sz w:val="19"/>
              </w:rPr>
              <w:t>联接盘加工图</w:t>
            </w:r>
          </w:p>
        </w:tc>
        <w:tc>
          <w:tcPr>
            <w:tcW w:type="dxa" w:w="907"/>
          </w:tcPr>
          <w:p>
            <w:pPr>
              <w:spacing w:after="20" w:line="276" w:lineRule="auto"/>
            </w:pPr>
            <w:r/>
            <w:r>
              <w:rPr>
                <w:sz w:val="19"/>
              </w:rPr>
              <w:t>A</w:t>
            </w:r>
          </w:p>
        </w:tc>
        <w:tc>
          <w:tcPr>
            <w:tcW w:type="dxa" w:w="1701"/>
          </w:tcPr>
          <w:p>
            <w:pPr>
              <w:spacing w:after="20" w:line="276" w:lineRule="auto"/>
            </w:pPr>
            <w:r/>
            <w:r>
              <w:rPr>
                <w:sz w:val="19"/>
              </w:rPr>
              <w:t>ZX-D405</w:t>
            </w:r>
          </w:p>
        </w:tc>
        <w:tc>
          <w:tcPr>
            <w:tcW w:type="dxa" w:w="907"/>
          </w:tcPr>
          <w:p>
            <w:pPr>
              <w:spacing w:after="20" w:line="276" w:lineRule="auto"/>
            </w:pPr>
            <w:r/>
            <w:r>
              <w:rPr>
                <w:sz w:val="19"/>
              </w:rPr>
              <w:t>1</w:t>
            </w:r>
          </w:p>
        </w:tc>
      </w:tr>
    </w:tbl>
    <w:p>
      <w:pPr>
        <w:spacing w:after="40"/>
      </w:pPr>
    </w:p>
    <w:p>
      <w:r>
        <w:t>以上图纸由甲方提供，以双方签章的最新版本为准；图纸版本更新的，甲方应书面通知乙方。</w:t>
      </w:r>
    </w:p>
    <w:sectPr w:rsidR="00FC693F" w:rsidRPr="0006063C" w:rsidSect="00034616">
      <w:headerReference w:type="default" r:id="rId9"/>
      <w:footerReference w:type="default" r:id="rId10"/>
      <w:pgSz w:w="11906" w:h="16838"/>
      <w:pgMar w:top="1417" w:right="1474" w:bottom="1304" w:left="1474"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合同风险审查助手（辅助初审）" w:initials="审" w:date="2026-10-10T11:43:20Z">
    <w:p>
      <w:pPr>
        <w:pStyle w:val="CommentText"/>
      </w:pPr>
      <w:r>
        <w:rPr>
          <w:rStyle w:val="CommentReference"/>
        </w:rPr>
        <w:annotationRef/>
      </w:r>
      <w:r>
        <w:t>【红】对方签字人无授权书</w:t>
      </w:r>
    </w:p>
    <w:p>
      <w:pPr>
        <w:pStyle w:val="CommentText"/>
      </w:pPr>
      <w:r>
        <w:t>问题：乙方签字人不是法定代表人，合同未附授权委托书。</w:t>
      </w:r>
    </w:p>
    <w:p>
      <w:pPr>
        <w:pStyle w:val="CommentText"/>
      </w:pPr>
      <w:r>
        <w:t>风险说明：签字人不是法定代表人又没有授权委托书，对方可以主张签字人无权代表公司，合同效力存疑。</w:t>
      </w:r>
    </w:p>
    <w:p>
      <w:pPr>
        <w:pStyle w:val="CommentText"/>
      </w:pPr>
      <w:r>
        <w:t>修改方向：要求对方提供加盖公章的授权委托书作为附件，或改由法定代表人签字。</w:t>
      </w:r>
    </w:p>
    <w:p>
      <w:pPr>
        <w:pStyle w:val="CommentText"/>
      </w:pPr>
      <w:r>
        <w:t>修改示例：乙方授权代表签字的，应同时提供加盖乙方公章的授权委托书原件，作为本合同附件。</w:t>
      </w:r>
    </w:p>
    <w:p>
      <w:pPr>
        <w:pStyle w:val="CommentText"/>
      </w:pPr>
      <w:r>
        <w:t>涉及条款：第十七条 合同生效、签章</w:t>
      </w:r>
    </w:p>
    <w:p>
      <w:pPr>
        <w:pStyle w:val="CommentText"/>
      </w:pPr>
      <w:r>
        <w:t>辅助初审，不构成法律意见。</w:t>
      </w:r>
    </w:p>
  </w:comment>
  <w:comment w:id="1" w:author="合同风险审查助手（辅助初审）" w:initials="审" w:date="2026-10-10T11:43:20Z">
    <w:p>
      <w:pPr>
        <w:pStyle w:val="CommentText"/>
      </w:pPr>
      <w:r>
        <w:rPr>
          <w:rStyle w:val="CommentReference"/>
        </w:rPr>
        <w:annotationRef/>
      </w:r>
      <w:r>
        <w:t>【红】预付比例高且无退款保障</w:t>
      </w:r>
    </w:p>
    <w:p>
      <w:pPr>
        <w:pStyle w:val="CommentText"/>
      </w:pPr>
      <w:r>
        <w:t>问题：预付 50%，超过可接受比例 30%，且没有退款或保函约定。</w:t>
      </w:r>
    </w:p>
    <w:p>
      <w:pPr>
        <w:pStyle w:val="CommentText"/>
      </w:pPr>
      <w:r>
        <w:t>风险说明：预付款付出后对方不交货或交货不合格，我方只能起诉追讨，钱可能拿不回来。</w:t>
      </w:r>
    </w:p>
    <w:p>
      <w:pPr>
        <w:pStyle w:val="CommentText"/>
      </w:pPr>
      <w:r>
        <w:t>修改方向：降低预付比例；或要求对方提供预付款保函，并写明不履约时预付款的退还期限。</w:t>
      </w:r>
    </w:p>
    <w:p>
      <w:pPr>
        <w:pStyle w:val="CommentText"/>
      </w:pPr>
      <w:r>
        <w:t>修改示例：乙方逾期交货超过××日或交付货物经验收不合格的，甲方有权解除合同，乙方应在××日内全额退还预付款并按年利率××%支付资金占用费。</w:t>
      </w:r>
    </w:p>
    <w:p>
      <w:pPr>
        <w:pStyle w:val="CommentText"/>
      </w:pPr>
      <w:r>
        <w:t>涉及条款：第三条 付款方式</w:t>
      </w:r>
    </w:p>
    <w:p>
      <w:pPr>
        <w:pStyle w:val="CommentText"/>
      </w:pPr>
      <w:r>
        <w:t>辅助初审，不构成法律意见。</w:t>
      </w:r>
    </w:p>
  </w:comment>
  <w:comment w:id="2" w:author="合同风险审查助手（辅助初审）" w:initials="审" w:date="2026-10-10T11:43:20Z">
    <w:p>
      <w:pPr>
        <w:pStyle w:val="CommentText"/>
      </w:pPr>
      <w:r>
        <w:rPr>
          <w:rStyle w:val="CommentReference"/>
        </w:rPr>
        <w:annotationRef/>
      </w:r>
      <w:r>
        <w:t>【红】异议期过短并视为验收</w:t>
      </w:r>
    </w:p>
    <w:p>
      <w:pPr>
        <w:pStyle w:val="CommentText"/>
      </w:pPr>
      <w:r>
        <w:t>问题：异议期 3 天，短于下限 7 天，逾期视为验收合格。</w:t>
      </w:r>
    </w:p>
    <w:p>
      <w:pPr>
        <w:pStyle w:val="CommentText"/>
      </w:pPr>
      <w:r>
        <w:t>风险说明：收货后几天内没有书面提出异议就视为合格，之后发现的质量问题很难再主张。</w:t>
      </w:r>
    </w:p>
    <w:p>
      <w:pPr>
        <w:pStyle w:val="CommentText"/>
      </w:pPr>
      <w:r>
        <w:t>修改方向：延长异议期，隐蔽缺陷另设期限，认可邮件、微信异议；或删去视为验收。</w:t>
      </w:r>
    </w:p>
    <w:p>
      <w:pPr>
        <w:pStyle w:val="CommentText"/>
      </w:pPr>
      <w:r>
        <w:t>修改示例：甲方应在收货后 15 日内完成验收；隐蔽缺陷自发现之日起 30 日内提出。甲方以电子邮件或微信提出异议的，视为书面异议。</w:t>
      </w:r>
    </w:p>
    <w:p>
      <w:pPr>
        <w:pStyle w:val="CommentText"/>
      </w:pPr>
      <w:r>
        <w:t>涉及条款：第六条 验收</w:t>
      </w:r>
    </w:p>
    <w:p>
      <w:pPr>
        <w:pStyle w:val="CommentText"/>
      </w:pPr>
      <w:r>
        <w:t>辅助初审，不构成法律意见。</w:t>
      </w:r>
    </w:p>
  </w:comment>
  <w:comment w:id="3" w:author="合同风险审查助手（辅助初审）" w:initials="审" w:date="2026-10-10T11:43:20Z">
    <w:p>
      <w:pPr>
        <w:pStyle w:val="CommentText"/>
      </w:pPr>
      <w:r>
        <w:rPr>
          <w:rStyle w:val="CommentReference"/>
        </w:rPr>
        <w:annotationRef/>
      </w:r>
      <w:r>
        <w:t>【红】质保期起算日不明</w:t>
      </w:r>
    </w:p>
    <w:p>
      <w:pPr>
        <w:pStyle w:val="CommentText"/>
      </w:pPr>
      <w:r>
        <w:t>问题：质保期自「安装调试完成」起算，而该事件没有约定完成时限，质保期何时开始、何时结束都不确定。</w:t>
      </w:r>
    </w:p>
    <w:p>
      <w:pPr>
        <w:pStyle w:val="CommentText"/>
      </w:pPr>
      <w:r>
        <w:t>风险说明：质保期起算点依赖一个没有期限的事件，质保期可能被无限拉长，质保金也迟迟不能结清。</w:t>
      </w:r>
    </w:p>
    <w:p>
      <w:pPr>
        <w:pStyle w:val="CommentText"/>
      </w:pPr>
      <w:r>
        <w:t>修改方向：把起算日锁定在交货日或验收日，并给起算事件设完成时限。</w:t>
      </w:r>
    </w:p>
    <w:p>
      <w:pPr>
        <w:pStyle w:val="CommentText"/>
      </w:pPr>
      <w:r>
        <w:t>修改示例：质保期自货物交付之日起算；如需安装调试，安装调试应在到货后××日内完成，逾期未完成的，自到货后第××日起算。</w:t>
      </w:r>
    </w:p>
    <w:p>
      <w:pPr>
        <w:pStyle w:val="CommentText"/>
      </w:pPr>
      <w:r>
        <w:t>涉及条款：第七条 质量保证</w:t>
      </w:r>
    </w:p>
    <w:p>
      <w:pPr>
        <w:pStyle w:val="CommentText"/>
      </w:pPr>
      <w:r>
        <w:t>辅助初审，不构成法律意见。</w:t>
      </w:r>
    </w:p>
  </w:comment>
  <w:comment w:id="4" w:author="合同风险审查助手（辅助初审）" w:initials="审" w:date="2026-10-10T11:43:20Z">
    <w:p>
      <w:pPr>
        <w:pStyle w:val="CommentText"/>
      </w:pPr>
      <w:r>
        <w:rPr>
          <w:rStyle w:val="CommentReference"/>
        </w:rPr>
        <w:annotationRef/>
      </w:r>
      <w:r>
        <w:t>【红】我方违约金无上限或超过底线</w:t>
      </w:r>
    </w:p>
    <w:p>
      <w:pPr>
        <w:pStyle w:val="CommentText"/>
      </w:pPr>
      <w:r>
        <w:t>问题：我方（甲方）违约金每日 3‰，没有累计上限。</w:t>
      </w:r>
    </w:p>
    <w:p>
      <w:pPr>
        <w:pStyle w:val="CommentText"/>
      </w:pPr>
      <w:r>
        <w:t>风险说明：违约金按日累计又没有上限，迟延时间一长，违约金可能接近甚至超过合同价款。</w:t>
      </w:r>
    </w:p>
    <w:p>
      <w:pPr>
        <w:pStyle w:val="CommentText"/>
      </w:pPr>
      <w:r>
        <w:t>修改方向：设累计上限（不超过公司底线比例），并与对方的违约责任对等。</w:t>
      </w:r>
    </w:p>
    <w:p>
      <w:pPr>
        <w:pStyle w:val="CommentText"/>
      </w:pPr>
      <w:r>
        <w:t>修改示例：任何一方的违约金累计不超过合同总价的××%。</w:t>
      </w:r>
    </w:p>
    <w:p>
      <w:pPr>
        <w:pStyle w:val="CommentText"/>
      </w:pPr>
      <w:r>
        <w:t>涉及条款：第九条 违约责任</w:t>
      </w:r>
    </w:p>
    <w:p>
      <w:pPr>
        <w:pStyle w:val="CommentText"/>
      </w:pPr>
      <w:r>
        <w:t>辅助初审，不构成法律意见。</w:t>
      </w:r>
    </w:p>
  </w:comment>
  <w:comment w:id="5" w:author="合同风险审查助手（辅助初审）" w:initials="审" w:date="2026-10-10T11:43:20Z">
    <w:p>
      <w:pPr>
        <w:pStyle w:val="CommentText"/>
      </w:pPr>
      <w:r>
        <w:rPr>
          <w:rStyle w:val="CommentReference"/>
        </w:rPr>
        <w:annotationRef/>
      </w:r>
      <w:r>
        <w:t>【黄】违约责任不对等</w:t>
      </w:r>
    </w:p>
    <w:p>
      <w:pPr>
        <w:pStyle w:val="CommentText"/>
      </w:pPr>
      <w:r>
        <w:t>问题：双方违约责任不对等：日比例我方 3‰、对方 0.5‰；累计上限我方无上限、对方 5%。</w:t>
      </w:r>
    </w:p>
    <w:p>
      <w:pPr>
        <w:pStyle w:val="CommentText"/>
      </w:pPr>
      <w:r>
        <w:t>风险说明：同样是违约，我方要付的比对方多，谈判时这是可以要求对等的地方。</w:t>
      </w:r>
    </w:p>
    <w:p>
      <w:pPr>
        <w:pStyle w:val="CommentText"/>
      </w:pPr>
      <w:r>
        <w:t>修改方向：双方违约金比例与上限对等。</w:t>
      </w:r>
    </w:p>
    <w:p>
      <w:pPr>
        <w:pStyle w:val="CommentText"/>
      </w:pPr>
      <w:r>
        <w:t>修改示例：双方违约金比例均为每日××‰，累计均不超过合同总价的××%。</w:t>
      </w:r>
    </w:p>
    <w:p>
      <w:pPr>
        <w:pStyle w:val="CommentText"/>
      </w:pPr>
      <w:r>
        <w:t>涉及条款：第九条 违约责任</w:t>
      </w:r>
    </w:p>
    <w:p>
      <w:pPr>
        <w:pStyle w:val="CommentText"/>
      </w:pPr>
      <w:r>
        <w:t>辅助初审，不构成法律意见。</w:t>
      </w:r>
    </w:p>
  </w:comment>
  <w:comment w:id="6" w:author="合同风险审查助手（辅助初审）" w:initials="审" w:date="2026-10-10T11:43:20Z">
    <w:p>
      <w:pPr>
        <w:pStyle w:val="CommentText"/>
      </w:pPr>
      <w:r>
        <w:rPr>
          <w:rStyle w:val="CommentReference"/>
        </w:rPr>
        <w:annotationRef/>
      </w:r>
      <w:r>
        <w:t>【黄】约定对方所在地管辖</w:t>
      </w:r>
    </w:p>
    <w:p>
      <w:pPr>
        <w:pStyle w:val="CommentText"/>
      </w:pPr>
      <w:r>
        <w:t>问题：争议由乙方所在地法院或仲裁机构处理，我方需异地应诉。</w:t>
      </w:r>
    </w:p>
    <w:p>
      <w:pPr>
        <w:pStyle w:val="CommentText"/>
      </w:pPr>
      <w:r>
        <w:t>风险说明：发生纠纷时我方要异地起诉或应诉，时间和费用成本高。</w:t>
      </w:r>
    </w:p>
    <w:p>
      <w:pPr>
        <w:pStyle w:val="CommentText"/>
      </w:pPr>
      <w:r>
        <w:t>修改方向：改为我方所在地、合同履行地或中立地。</w:t>
      </w:r>
    </w:p>
    <w:p>
      <w:pPr>
        <w:pStyle w:val="CommentText"/>
      </w:pPr>
      <w:r>
        <w:t>修改示例：因本合同产生的争议，由合同履行地人民法院管辖。</w:t>
      </w:r>
    </w:p>
    <w:p>
      <w:pPr>
        <w:pStyle w:val="CommentText"/>
      </w:pPr>
      <w:r>
        <w:t>涉及条款：第十四条 争议解决</w:t>
      </w:r>
    </w:p>
    <w:p>
      <w:pPr>
        <w:pStyle w:val="CommentText"/>
      </w:pPr>
      <w:r>
        <w:t>辅助初审，不构成法律意见。</w:t>
      </w:r>
    </w:p>
  </w:comment>
  <w:comment w:id="7" w:author="合同风险审查助手（辅助初审）" w:initials="审" w:date="2026-10-10T11:43:20Z">
    <w:p>
      <w:pPr>
        <w:pStyle w:val="CommentText"/>
      </w:pPr>
      <w:r>
        <w:rPr>
          <w:rStyle w:val="CommentReference"/>
        </w:rPr>
        <w:annotationRef/>
      </w:r>
      <w:r>
        <w:t>【黄】引用文件未附</w:t>
      </w:r>
    </w:p>
    <w:p>
      <w:pPr>
        <w:pStyle w:val="CommentText"/>
      </w:pPr>
      <w:r>
        <w:t>问题：引用或列明的文件没有附上：《供应商质量协议》。</w:t>
      </w:r>
    </w:p>
    <w:p>
      <w:pPr>
        <w:pStyle w:val="CommentText"/>
      </w:pPr>
      <w:r>
        <w:t>风险说明：合同引用的文件不在手里，等于把一部分条款交给对方事后解释，我方看不到也审不到。</w:t>
      </w:r>
    </w:p>
    <w:p>
      <w:pPr>
        <w:pStyle w:val="CommentText"/>
      </w:pPr>
      <w:r>
        <w:t>修改方向：把引用的文件作为附件附上并固定版本；对方网页条款不得单方更新。</w:t>
      </w:r>
    </w:p>
    <w:p>
      <w:pPr>
        <w:pStyle w:val="CommentText"/>
      </w:pPr>
      <w:r>
        <w:t>修改示例：《××》（版本号××，日期××）作为本合同附件，与本合同具有同等效力；未经双方书面同意不得变更。</w:t>
      </w:r>
    </w:p>
    <w:p>
      <w:pPr>
        <w:pStyle w:val="CommentText"/>
      </w:pPr>
      <w:r>
        <w:t>涉及条款：第一条 标的、规格与数量、第五条 质量要求</w:t>
      </w:r>
    </w:p>
    <w:p>
      <w:pPr>
        <w:pStyle w:val="CommentText"/>
      </w:pPr>
      <w:r>
        <w:t>辅助初审，不构成法律意见。</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示例合同　第 </w:t>
    </w:r>
    <w:r>
      <w:rPr>
        <w:sz w:val="18"/>
      </w:rPr>
      <w:fldChar w:fldCharType="begin"/>
      <w:instrText xml:space="preserve">PAGE</w:instrText>
      <w:fldChar w:fldCharType="end"/>
    </w:r>
    <w:r>
      <w:rPr>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808080"/>
        <w:sz w:val="18"/>
      </w:rPr>
      <w:t>示例合同 · 当事人与数据均为虚构 · 设备零部件采购合同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pPr>
    <w:rPr>
      <w:rFonts w:ascii="Times New Roman" w:hAnsi="Times New Roman" w:eastAsia="宋体" w:cs="Times New Roman"/>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jc w:val="center"/>
      <w:outlineLvl w:val="0"/>
    </w:pPr>
    <w:rPr>
      <w:rFonts w:ascii="Times New Roman" w:hAnsi="Times New Roman" w:eastAsia="黑体"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imes New Roman" w:hAnsi="Times New Roman" w:eastAsia="黑体"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jc w:val="center"/>
    </w:pPr>
    <w:rPr>
      <w:rFonts w:ascii="Times New Roman" w:hAnsi="Times New Roman" w:eastAsia="黑体" w:cs="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