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B4433A"/>
          <w:sz w:val="22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80"/>
      </w:pPr>
      <w:r>
        <w:rPr>
          <w:color w:val="5B6B70"/>
          <w:sz w:val="20"/>
          <w:rFonts w:eastAsia="宋体"/>
        </w:rPr>
        <w:t>示例数据。公司与数字均为虚构。</w:t>
      </w:r>
    </w:p>
    <w:p>
      <w:pPr>
        <w:spacing w:after="80"/>
      </w:pPr>
      <w:r>
        <w:rPr>
          <w:b/>
          <w:sz w:val="32"/>
          <w:rFonts w:eastAsia="宋体"/>
        </w:rPr>
        <w:t>合同风险审查助手：批注版</w:t>
      </w:r>
    </w:p>
    <w:p>
      <w:pPr>
        <w:spacing w:after="80"/>
      </w:pPr>
      <w:r>
        <w:rPr>
          <w:rFonts w:eastAsia="宋体"/>
        </w:rPr>
        <w:t>合同：年度经销框架协议与季度订单</w:t>
      </w:r>
    </w:p>
    <w:p>
      <w:pPr>
        <w:spacing w:after="80"/>
      </w:pPr>
      <w:r>
        <w:rPr>
          <w:b/>
          <w:color w:val="B4433A"/>
          <w:rFonts w:eastAsia="宋体"/>
        </w:rPr>
        <w:t>本合同风险：红（整份取最高档，未见此条不计入）；红 4 项、黄 4 项、未见此条 0 项、未审查 0 项、绿 16 项。本次适用 23 条规则，共 24 项检查。</w:t>
      </w:r>
    </w:p>
    <w:p>
      <w:pPr>
        <w:spacing w:after="80"/>
      </w:pPr>
      <w:r>
        <w:rPr>
          <w:rFonts w:eastAsia="宋体"/>
        </w:rPr>
        <w:t>我方立场：卖方（我方：甲方；对方：乙方）　合同金额：3,600,000 元</w:t>
      </w:r>
    </w:p>
    <w:p>
      <w:pPr>
        <w:spacing w:after="80"/>
      </w:pPr>
      <w:r>
        <w:rPr>
          <w:rFonts w:eastAsia="宋体"/>
        </w:rPr>
        <w:t>审查日期：2026年10月10日</w:t>
      </w:r>
    </w:p>
    <w:p>
      <w:pPr>
        <w:spacing w:after="80"/>
      </w:pPr>
      <w:r>
        <w:rPr>
          <w:rFonts w:eastAsia="宋体"/>
        </w:rPr>
        <w:t>本批注版含红、黄项：合同金额 3,600,000 元，达到律师复核金额门槛 500,000 元。共 8 条批注，批注作者“合同风险审查助手（辅助初审）”。</w:t>
      </w:r>
    </w:p>
    <w:p>
      <w:pPr>
        <w:spacing w:after="80"/>
      </w:pPr>
      <w:r>
        <w:rPr>
          <w:b/>
          <w:rFonts w:eastAsia="宋体"/>
        </w:rPr>
        <w:t>未审查的部分（系统没有读到或没能核对上，不能判为合格，需人工查看原文）：</w:t>
      </w:r>
    </w:p>
    <w:p>
      <w:pPr>
        <w:spacing w:after="80"/>
      </w:pPr>
      <w:r>
        <w:rPr>
          <w:rFonts w:eastAsia="宋体"/>
        </w:rPr>
        <w:t xml:space="preserve">　无。</w:t>
      </w:r>
    </w:p>
    <w:p>
      <w:pPr>
        <w:spacing w:after="80"/>
      </w:pPr>
      <w:r>
        <w:rPr>
          <w:b/>
          <w:rFonts w:eastAsia="宋体"/>
        </w:rPr>
        <w:t>未见此条（合同里没找到这一条。没写不等于没风险，要不要补由你们定，拿不准的问律师。只列名称，不写进正文批注）：</w:t>
      </w:r>
    </w:p>
    <w:p>
      <w:pPr>
        <w:spacing w:after="80"/>
      </w:pPr>
      <w:r>
        <w:rPr>
          <w:rFonts w:eastAsia="宋体"/>
        </w:rPr>
        <w:t xml:space="preserve">　无。</w:t>
      </w:r>
    </w:p>
    <w:p>
      <w:r>
        <w:br w:type="page"/>
      </w:r>
    </w:p>
    <w:p>
      <w:pPr>
        <w:pStyle w:val="Title"/>
      </w:pPr>
      <w:r>
        <w:t>年度经销框架协议</w:t>
      </w:r>
    </w:p>
    <w:p>
      <w:pPr>
        <w:jc w:val="center"/>
      </w:pPr>
      <w:r>
        <w:t>（示例：当事人与数据均为虚构）</w:t>
      </w:r>
    </w:p>
    <w:p>
      <w:r>
        <w:t>合同编号：示例-JX-0002</w:t>
      </w:r>
    </w:p>
    <w:p>
      <w:r>
        <w:t>签订地：广东省佛山市</w:t>
      </w:r>
    </w:p>
    <w:p>
      <w:r>
        <w:t>签订日期：2026年12月18日</w:t>
      </w:r>
    </w:p>
    <w:p>
      <w:r>
        <w:t>甲方（供货方）：云杉轻居家居用品有限公司</w:t>
      </w:r>
    </w:p>
    <w:p>
      <w:pPr>
        <w:spacing w:after="0"/>
        <w:ind w:left="340"/>
      </w:pPr>
      <w:r>
        <w:t>住所：广东省佛山市南海区桂和路 66 号</w:t>
      </w:r>
    </w:p>
    <w:p>
      <w:pPr>
        <w:spacing w:after="0"/>
        <w:ind w:left="340"/>
      </w:pPr>
      <w:r>
        <w:t>法定代表人：许清远</w:t>
      </w:r>
    </w:p>
    <w:p>
      <w:pPr>
        <w:spacing w:after="0"/>
        <w:ind w:left="340"/>
      </w:pPr>
      <w:r>
        <w:t>联系人：梁雅婷</w:t>
      </w:r>
    </w:p>
    <w:p>
      <w:pPr>
        <w:spacing w:after="0"/>
        <w:ind w:left="340"/>
      </w:pPr>
      <w:r>
        <w:t>电话：0757-5550-3003</w:t>
      </w:r>
    </w:p>
    <w:p>
      <w:pPr>
        <w:spacing w:after="0"/>
        <w:ind w:left="340"/>
      </w:pPr>
      <w:r>
        <w:t>电子邮箱：liangyt@yunshan-demo.example</w:t>
      </w:r>
    </w:p>
    <w:p>
      <w:r>
        <w:t>乙方（经销商）：沐川城市商贸有限公司</w:t>
      </w:r>
    </w:p>
    <w:p>
      <w:pPr>
        <w:spacing w:after="0"/>
        <w:ind w:left="340"/>
      </w:pPr>
      <w:r>
        <w:t>住所：湖北省武汉市洪山区光谷大道 18 号</w:t>
      </w:r>
    </w:p>
    <w:p>
      <w:pPr>
        <w:spacing w:after="0"/>
        <w:ind w:left="340"/>
      </w:pPr>
      <w:r>
        <w:t>法定代表人：邓志远</w:t>
      </w:r>
    </w:p>
    <w:p>
      <w:pPr>
        <w:spacing w:after="0"/>
        <w:ind w:left="340"/>
      </w:pPr>
      <w:r>
        <w:t>联系人：彭浩</w:t>
      </w:r>
    </w:p>
    <w:p>
      <w:pPr>
        <w:spacing w:after="0"/>
        <w:ind w:left="340"/>
      </w:pPr>
      <w:r>
        <w:t>电话：027-5550-4004</w:t>
      </w:r>
    </w:p>
    <w:p>
      <w:pPr>
        <w:spacing w:after="0"/>
        <w:ind w:left="340"/>
      </w:pPr>
      <w:r>
        <w:t>电子邮箱：penghao@muchuan-demo.example</w:t>
      </w:r>
    </w:p>
    <w:p>
      <w:r>
        <w:t>甲方是“云杉轻居”品牌家居收纳产品的供货方，乙方愿意在约定区域内经销该品牌产品。双方依据《中华人民共和国民法典》等法律法规，订立本框架协议，并以季度订单落实具体采购。</w:t>
      </w:r>
    </w:p>
    <w:p>
      <w:pPr>
        <w:pStyle w:val="Heading2"/>
      </w:pPr>
      <w:r>
        <w:t>第一条 产品、规格与技术标准</w:t>
      </w:r>
    </w:p>
    <w:p>
      <w:r>
        <w:t>1.1 本协议项下经销产品为甲方“云杉轻居”品牌家居收纳系列产品，品名、型号、规格及协议价见附件一《产品价格表》，具体技术要求见附件二《产品规格书》。</w:t>
      </w:r>
    </w:p>
    <w:p>
      <w:r>
        <w:t>1.2 产品应符合 GB/T 3324 木家具通用技术条件、GB 18580 人造板及其制品中甲醛释放限量等国家标准及附件二的约定，并附合格证。</w:t>
      </w:r>
    </w:p>
    <w:p>
      <w:r>
        <w:t>1.3 甲方可根据生产情况对产品作不影响使用性能的改进，改进前应提前 30 日书面通知乙方。</w:t>
      </w:r>
    </w:p>
    <w:p>
      <w:pPr>
        <w:pStyle w:val="Heading2"/>
      </w:pPr>
      <w:r>
        <w:t>第二条 经销区域与期限</w:t>
      </w:r>
    </w:p>
    <w:p>
      <w:commentRangeStart w:id="2"/>
      <w:r>
        <w:t>2.1 甲方授予乙方华中区域（湖北省、湖南省、河南省）独家经销权，甲方不得在该区域内向任何第三方供货。</w:t>
      </w:r>
      <w:commentRangeEnd w:id="2"/>
      <w:r>
        <w:rPr>
          <w:rStyle w:val="CommentReference"/>
        </w:rPr>
        <w:commentReference w:id="2"/>
      </w:r>
    </w:p>
    <w:p>
      <w:r>
        <w:t>2.2 乙方应在上述区域内开展经销活动，不得向区域外主动销售；乙方在区域外发生的销售不构成对甲方的违约，但甲方有权要求乙方说明来源。</w:t>
      </w:r>
    </w:p>
    <w:p>
      <w:r>
        <w:t>2.3 年度预计采购额为人民币 3,600,000.00 元（大写：叁佰陆拾万元整，含税），该数额仅为双方对年度业务规模的预计，具体采购量以乙方按本协议发出的订单为准。</w:t>
      </w:r>
    </w:p>
    <w:p>
      <w:r>
        <w:t>2.4 本协议有效期自 2027 年 1 月 1 日起至 2027 年 12 月 31 日止。期满后如需续约，须双方另行书面同意，不因继续履行而自动续期。</w:t>
      </w:r>
    </w:p>
    <w:p>
      <w:pPr>
        <w:pStyle w:val="Heading2"/>
      </w:pPr>
      <w:r>
        <w:t>第三条 订单与确认</w:t>
      </w:r>
    </w:p>
    <w:p>
      <w:r>
        <w:t>3.1 乙方按季度向甲方提交书面订单，订单载明产品型号、数量、单价、交货时间和地点。甲方应在收到订单后 3 个工作日内书面确认；逾期未确认的，乙方可催告，催告后 2 个工作日内仍未答复的，订单视为未成立。</w:t>
      </w:r>
    </w:p>
    <w:p>
      <w:r>
        <w:t>3.2 订单经甲方书面确认后成立。订单成立后，任何一方不得无故取消或变更，确需变更的须经对方书面同意。</w:t>
      </w:r>
    </w:p>
    <w:p>
      <w:pPr>
        <w:pStyle w:val="Heading2"/>
      </w:pPr>
      <w:r>
        <w:t>第四条 价格、价格保护与税率</w:t>
      </w:r>
    </w:p>
    <w:p>
      <w:r>
        <w:t>4.1 产品协议价见附件一，币种为人民币，为含税价，适用增值税税率 13%，包含包装费及运输至乙方指定仓库的费用。</w:t>
      </w:r>
    </w:p>
    <w:p>
      <w:r>
        <w:t>4.2 价格保护：协议价为乙方采购的最低结算价格。订单单价低于协议价的，甲方有权拒绝确认该订单，且该订单价格不得作为之后订单的定价参照。</w:t>
      </w:r>
    </w:p>
    <w:p>
      <w:commentRangeStart w:id="0"/>
      <w:r>
        <w:t>4.3 乙方有权根据当地市场行情调整采购单价，具体以乙方订单载明的价格为准。</w:t>
      </w:r>
      <w:commentRangeEnd w:id="0"/>
      <w:r>
        <w:rPr>
          <w:rStyle w:val="CommentReference"/>
        </w:rPr>
        <w:commentReference w:id="0"/>
      </w:r>
    </w:p>
    <w:p>
      <w:r>
        <w:t>4.4 甲方下调协议价的，对乙方在价格调整日库存的同型号产品，按调整前后差价的 100% 以货款抵扣方式向乙方补偿。</w:t>
      </w:r>
    </w:p>
    <w:p>
      <w:pPr>
        <w:pStyle w:val="Heading2"/>
      </w:pPr>
      <w:r>
        <w:t>第五条 付款方式</w:t>
      </w:r>
    </w:p>
    <w:p>
      <w:r>
        <w:t>5.1 每批次订单货款按下列方式支付：订单确认后 5 日内，乙方向甲方支付该订单货款的 30% 作为预付款；其余货款中的 60% 货款和 10% 质保金，分别按本条以下两款约定支付。</w:t>
      </w:r>
    </w:p>
    <w:p>
      <w:commentRangeStart w:id="1"/>
      <w:commentRangeStart w:id="4"/>
      <w:r>
        <w:t>5.2 其余 60% 货款，乙方收到甲方发票后 90 日内付款。</w:t>
      </w:r>
      <w:commentRangeEnd w:id="1"/>
      <w:r>
        <w:rPr>
          <w:rStyle w:val="CommentReference"/>
        </w:rPr>
        <w:commentReference w:id="1"/>
      </w:r>
      <w:commentRangeEnd w:id="4"/>
      <w:r>
        <w:rPr>
          <w:rStyle w:val="CommentReference"/>
        </w:rPr>
        <w:commentReference w:id="4"/>
      </w:r>
    </w:p>
    <w:p>
      <w:commentRangeStart w:id="6"/>
      <w:r>
        <w:t>5.3 质保金为每批次货款的 10%，于质保期满一年后支付。</w:t>
      </w:r>
      <w:commentRangeEnd w:id="6"/>
      <w:r>
        <w:rPr>
          <w:rStyle w:val="CommentReference"/>
        </w:rPr>
        <w:commentReference w:id="6"/>
      </w:r>
    </w:p>
    <w:p>
      <w:r>
        <w:t>5.4 乙方通过银行转账方式向甲方指定账户付款，付款日期以款项到达甲方账户之日为准。</w:t>
      </w:r>
    </w:p>
    <w:p>
      <w:pPr>
        <w:pStyle w:val="Heading2"/>
      </w:pPr>
      <w:r>
        <w:t>第六条 发票</w:t>
      </w:r>
    </w:p>
    <w:p>
      <w:r>
        <w:t>6.1 甲方向乙方开具增值税专用发票，税率 13%，发票抬头、税号、品名以乙方提供的开票信息为准。</w:t>
      </w:r>
    </w:p>
    <w:p>
      <w:commentRangeStart w:id="5"/>
      <w:r>
        <w:t>6.2 甲方开具发票的时间以乙方书面通知为准。</w:t>
      </w:r>
      <w:commentRangeEnd w:id="5"/>
      <w:r>
        <w:rPr>
          <w:rStyle w:val="CommentReference"/>
        </w:rPr>
        <w:commentReference w:id="5"/>
      </w:r>
    </w:p>
    <w:p>
      <w:r>
        <w:t>6.3 发票内容有误的，甲方应在收到乙方书面通知后 5 日内更正或重开。</w:t>
      </w:r>
    </w:p>
    <w:p>
      <w:pPr>
        <w:pStyle w:val="Heading2"/>
      </w:pPr>
      <w:r>
        <w:t>第七条 交付与签收</w:t>
      </w:r>
    </w:p>
    <w:p>
      <w:r>
        <w:t>7.1 交货地点：湖北省武汉市洪山区光谷大道 18 号乙方仓库；运输方式由甲方选择，运费由甲方承担。</w:t>
      </w:r>
    </w:p>
    <w:p>
      <w:r>
        <w:t>7.2 乙方仓库人员应在货物到达时核对数量、外包装，并在甲方送货单上签收，签收之日为交付日。送货单经乙方签收后一份返还甲方，作为交付凭证。</w:t>
      </w:r>
    </w:p>
    <w:p>
      <w:r>
        <w:t>7.3 货物毁损、灭失的风险自乙方签收之时起转移至乙方。</w:t>
      </w:r>
    </w:p>
    <w:p>
      <w:pPr>
        <w:pStyle w:val="Heading2"/>
      </w:pPr>
      <w:r>
        <w:t>第八条 验收</w:t>
      </w:r>
    </w:p>
    <w:p>
      <w:r>
        <w:t>8.1 验收标准：按附件二《产品规格书》及第一条约定的技术标准。验收方法：乙方按到货批次对数量、外观全数检查，对功能和承重性能按不低于 5% 的比例抽检。</w:t>
      </w:r>
    </w:p>
    <w:p>
      <w:r>
        <w:t>8.2 乙方收货后 15 日内未提异议的，视为验收合格。乙方提出异议应以书面或电子邮件形式并附照片等证明材料。</w:t>
      </w:r>
    </w:p>
    <w:p>
      <w:r>
        <w:t>8.3 经甲方复核确认存在质量问题的产品，甲方应在 10 日内更换或退货，并承担由此产生的运费。</w:t>
      </w:r>
    </w:p>
    <w:p>
      <w:pPr>
        <w:pStyle w:val="Heading2"/>
      </w:pPr>
      <w:r>
        <w:t>第九条 质量保证</w:t>
      </w:r>
    </w:p>
    <w:p>
      <w:r>
        <w:t>9.1 产品质保期为 12 个月，自交货日（乙方签收之日）起算。</w:t>
      </w:r>
    </w:p>
    <w:p>
      <w:r>
        <w:t>9.2 质保期内因产品材料或工艺缺陷造成的损坏，甲方负责免费维修、更换；因人为损坏、不当使用、运输中乙方原因造成的损坏及正常磨损，不在质保范围内。</w:t>
      </w:r>
    </w:p>
    <w:p>
      <w:pPr>
        <w:pStyle w:val="Heading2"/>
      </w:pPr>
      <w:r>
        <w:t>第十条 品牌与知识产权</w:t>
      </w:r>
    </w:p>
    <w:p>
      <w:r>
        <w:t>10.1 “云杉轻居”商标及产品外观设计、图案的知识产权归甲方所有。甲方授权乙方在经销区域内、协议期限内使用该商标用于产品的宣传和销售。</w:t>
      </w:r>
    </w:p>
    <w:p>
      <w:r>
        <w:t>10.2 乙方不得擅自改变产品包装、商标，不得生产、销售与本品牌相似的产品。</w:t>
      </w:r>
    </w:p>
    <w:p>
      <w:pPr>
        <w:pStyle w:val="Heading2"/>
      </w:pPr>
      <w:r>
        <w:t>第十一条 违约责任</w:t>
      </w:r>
    </w:p>
    <w:p>
      <w:r>
        <w:t>11.1 乙方逾期付款的，每逾期一日，按逾期未付金额的万分之五向甲方支付违约金；甲方迟延交货的，每逾期一日，按迟延交付部分货款的万分之五向乙方支付违约金。</w:t>
      </w:r>
    </w:p>
    <w:p>
      <w:r>
        <w:t>11.2 任何一方违约金累计不超过该订单金额的 10%。</w:t>
      </w:r>
    </w:p>
    <w:p>
      <w:r>
        <w:t>11.3 任何一方依本协议承担的赔偿责任（不含违约金）累计不超过当年度实际结算货款总额的 10%，且不包括间接损失和可得利益损失。</w:t>
      </w:r>
    </w:p>
    <w:p>
      <w:pPr>
        <w:pStyle w:val="Heading2"/>
      </w:pPr>
      <w:r>
        <w:t>第十二条 保密</w:t>
      </w:r>
    </w:p>
    <w:p>
      <w:r>
        <w:t>12.1 双方对在本合同订立和履行过程中知悉的对方技术资料、价格、客户信息及其他商业秘密负有保密义务，未经对方书面同意，不得向任何第三方披露，也不得用于本合同以外的目的。</w:t>
      </w:r>
    </w:p>
    <w:p>
      <w:r>
        <w:t>12.2 保密期限自本合同签订之日起至合同终止或履行完毕后2 年止。</w:t>
      </w:r>
    </w:p>
    <w:p>
      <w:r>
        <w:t>12.3 下列信息不属于保密信息：（1）披露时已为公众所知或非因接收方过错而成为公开的信息；（2）接收方在披露前已合法掌握的信息；（3）接收方独立开发且未使用对方保密信息的信息；（4）从有权披露的第三方合法取得的信息；（5）依法律法规、司法机关或监管机构要求必须披露的信息。</w:t>
      </w:r>
    </w:p>
    <w:p>
      <w:r>
        <w:t>12.4 接收方仅可向因履行本合同确需知悉的员工、专业顾问披露保密信息，并应确保其承担不低于本条的保密义务。</w:t>
      </w:r>
    </w:p>
    <w:p>
      <w:pPr>
        <w:pStyle w:val="Heading2"/>
      </w:pPr>
      <w:r>
        <w:t>第十三条 协议解除</w:t>
      </w:r>
    </w:p>
    <w:p>
      <w:r>
        <w:t>13.1 经双方协商一致，可以书面解除本协议。</w:t>
      </w:r>
    </w:p>
    <w:p>
      <w:r>
        <w:t>13.2 一方违反本协议约定，经对方书面催告后 15 日内仍未改正的，守约方有权书面通知对方解除本协议。</w:t>
      </w:r>
    </w:p>
    <w:p>
      <w:r>
        <w:t>13.3 任何一方提前解除本协议的，应提前 30 日书面通知对方；解除后，双方就已发货、已收货部分结算，一方对另一方已确认订单下已投入的备料、在制品，按成本合理补偿，因对方违约解除的除外。</w:t>
      </w:r>
    </w:p>
    <w:p>
      <w:pPr>
        <w:pStyle w:val="Heading2"/>
      </w:pPr>
      <w:r>
        <w:t>第十四条 不可抗力</w:t>
      </w:r>
    </w:p>
    <w:p>
      <w:r>
        <w:t>14.1 不可抗力是指不能预见、不能避免且不能克服的客观情况，包括地震、台风、洪水等自然灾害，战争、政府行为、新的法律法规或政策调整，疫情防控措施，以及因政府统一调度导致的限电、限产。</w:t>
      </w:r>
    </w:p>
    <w:p>
      <w:r>
        <w:t>14.2 遭遇不可抗力的一方应在事件发生后 5 日内书面通知对方，并在事件发生后 15 日内提供有关部门出具的证明或其他合理证明材料，同时采取措施减轻损失。</w:t>
      </w:r>
    </w:p>
    <w:p>
      <w:r>
        <w:t>14.3 因不可抗力不能履行或不能完全履行合同的，可根据影响程度部分或全部免除责任，但迟延履行后发生不可抗力的除外。</w:t>
      </w:r>
    </w:p>
    <w:p>
      <w:r>
        <w:t>14.4 不可抗力持续超过 60 日的，任何一方均有权书面通知对方解除本合同，双方互不承担违约责任，并就已履行部分进行结算。</w:t>
      </w:r>
    </w:p>
    <w:p>
      <w:pPr>
        <w:pStyle w:val="Heading2"/>
      </w:pPr>
      <w:r>
        <w:t>第十五条 通知与送达</w:t>
      </w:r>
    </w:p>
    <w:p>
      <w:r>
        <w:t>15.1 双方确认的送达地址、联系人及电子邮箱如下：甲方：广东省佛山市南海区桂和路 66 号，联系人梁雅婷，电子邮箱liangyt@yunshan-demo.example；乙方：湖北省武汉市洪山区光谷大道 18 号，联系人彭浩，电子邮箱penghao@muchuan-demo.example。</w:t>
      </w:r>
    </w:p>
    <w:p>
      <w:r>
        <w:t>15.2 任何一方变更送达地址、联系人或电子邮箱的，应提前 5 日书面通知对方；未及时通知的，按原地址送达，由变更方承担由此产生的后果。</w:t>
      </w:r>
    </w:p>
    <w:p>
      <w:r>
        <w:t>15.3 与本合同履行有关的通知、函件以书面形式作出。书面通知经专人送达或快递寄出后第 3 日视为送达；以电子邮件发送至上述电子邮箱的，邮件发出之日视为送达。</w:t>
      </w:r>
    </w:p>
    <w:p>
      <w:r>
        <w:t>15.4 微信、短信等即时通讯方式仅用于日常沟通，不作为变更合同、解除合同或提出异议的有效形式，但双方另以书面确认的除外。</w:t>
      </w:r>
    </w:p>
    <w:p>
      <w:pPr>
        <w:pStyle w:val="Heading2"/>
      </w:pPr>
      <w:r>
        <w:t>第十六条 争议解决</w:t>
      </w:r>
    </w:p>
    <w:p>
      <w:commentRangeStart w:id="3"/>
      <w:r>
        <w:t>16.1 因本协议引起的争议，双方应先友好协商。协商不成的，乙方可向甲方所在地仲裁委员会申请仲裁，也可向甲方所在地人民法院起诉。</w:t>
      </w:r>
      <w:commentRangeEnd w:id="3"/>
      <w:r>
        <w:rPr>
          <w:rStyle w:val="CommentReference"/>
        </w:rPr>
        <w:commentReference w:id="3"/>
      </w:r>
    </w:p>
    <w:p>
      <w:r>
        <w:t>16.2 甲方所在地仲裁委员会为南海川仲裁委员会（广东省佛山市南海区），甲方所在地人民法院为广东省佛山市南海区人民法院。</w:t>
      </w:r>
    </w:p>
    <w:p>
      <w:pPr>
        <w:pStyle w:val="Heading2"/>
      </w:pPr>
      <w:r>
        <w:t>第十七条 文件优先顺序与其他</w:t>
      </w:r>
    </w:p>
    <w:p>
      <w:r>
        <w:t>17.1 本协议由正文、附件一《产品价格表》、附件二《产品规格书》组成。各部分不一致的，按正文、附件一、附件二的顺序确定优先适用。</w:t>
      </w:r>
    </w:p>
    <w:p>
      <w:r>
        <w:t>17.2 本协议的变更和补充须经双方书面确认。本协议一式二份，双方各执一份，具有同等法律效力。</w:t>
      </w:r>
    </w:p>
    <w:p>
      <w:pPr>
        <w:pStyle w:val="Heading2"/>
      </w:pPr>
      <w:r>
        <w:t>第十八条 合同生效</w:t>
      </w:r>
    </w:p>
    <w:p>
      <w:r>
        <w:t>18.1 本协议自双方法定代表人或其授权代表签字并加盖公章之日起生效。</w:t>
      </w:r>
    </w:p>
    <w:p>
      <w:pPr>
        <w:spacing w:before="280"/>
        <w:jc w:val="center"/>
      </w:pPr>
      <w:r>
        <w:t>（以下无正文）</w:t>
      </w:r>
    </w:p>
    <w:p>
      <w:pPr>
        <w:spacing w:before="160"/>
      </w:pPr>
      <w:r>
        <w:t>甲方（盖章）：云杉轻居家居用品有限公司</w:t>
      </w:r>
    </w:p>
    <w:p>
      <w:r>
        <w:t>盖章：[公章]</w:t>
      </w:r>
    </w:p>
    <w:p>
      <w:r>
        <w:t>签字：许清远（法定代表人）</w:t>
      </w:r>
    </w:p>
    <w:p>
      <w:r>
        <w:t>日期：2026年12月18日</w:t>
      </w:r>
    </w:p>
    <w:p>
      <w:pPr>
        <w:spacing w:before="160"/>
      </w:pPr>
      <w:r>
        <w:t>乙方（盖章）：沐川城市商贸有限公司</w:t>
      </w:r>
    </w:p>
    <w:p>
      <w:r>
        <w:t>盖章：[公章]</w:t>
      </w:r>
    </w:p>
    <w:p>
      <w:r>
        <w:t>签字：邓志远（法定代表人）</w:t>
      </w:r>
    </w:p>
    <w:p>
      <w:r>
        <w:t>日期：2026年12月18日</w:t>
      </w:r>
    </w:p>
    <w:p>
      <w:pPr>
        <w:pStyle w:val="Heading1"/>
      </w:pPr>
      <w:r>
        <w:t>附件一 产品价格表</w:t>
      </w:r>
    </w:p>
    <w:p>
      <w:r>
        <w:t>协议价为含税价（税率 13%），币种人民币，单位：元/件。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92"/>
        <w:gridCol w:w="1792"/>
        <w:gridCol w:w="1792"/>
        <w:gridCol w:w="1792"/>
        <w:gridCol w:w="1792"/>
      </w:tblGrid>
      <w:tr>
        <w:tc>
          <w:tcPr>
            <w:tcW w:type="dxa" w:w="624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序号</w:t>
            </w:r>
          </w:p>
        </w:tc>
        <w:tc>
          <w:tcPr>
            <w:tcW w:type="dxa" w:w="1361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型号</w:t>
            </w:r>
          </w:p>
        </w:tc>
        <w:tc>
          <w:tcPr>
            <w:tcW w:type="dxa" w:w="1587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品名</w:t>
            </w:r>
          </w:p>
        </w:tc>
        <w:tc>
          <w:tcPr>
            <w:tcW w:type="dxa" w:w="3515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规格</w:t>
            </w:r>
          </w:p>
        </w:tc>
        <w:tc>
          <w:tcPr>
            <w:tcW w:type="dxa" w:w="1928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协议价（元/件，含税）</w:t>
            </w:r>
          </w:p>
        </w:tc>
      </w:tr>
      <w:tr>
        <w:tc>
          <w:tcPr>
            <w:tcW w:type="dxa" w:w="62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YS-WC120</w:t>
            </w:r>
          </w:p>
        </w:tc>
        <w:tc>
          <w:tcPr>
            <w:tcW w:type="dxa" w:w="158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壁挂收纳柜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1200×300×600 mm，E0 级刨花板</w:t>
            </w:r>
          </w:p>
        </w:tc>
        <w:tc>
          <w:tcPr>
            <w:tcW w:type="dxa" w:w="1928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268.00</w:t>
            </w:r>
          </w:p>
        </w:tc>
      </w:tr>
      <w:tr>
        <w:tc>
          <w:tcPr>
            <w:tcW w:type="dxa" w:w="62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YS-FB60</w:t>
            </w:r>
          </w:p>
        </w:tc>
        <w:tc>
          <w:tcPr>
            <w:tcW w:type="dxa" w:w="158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折叠收纳箱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60 L，聚丙烯，可堆叠</w:t>
            </w:r>
          </w:p>
        </w:tc>
        <w:tc>
          <w:tcPr>
            <w:tcW w:type="dxa" w:w="1928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86.00</w:t>
            </w:r>
          </w:p>
        </w:tc>
      </w:tr>
      <w:tr>
        <w:tc>
          <w:tcPr>
            <w:tcW w:type="dxa" w:w="62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YS-SR400</w:t>
            </w:r>
          </w:p>
        </w:tc>
        <w:tc>
          <w:tcPr>
            <w:tcW w:type="dxa" w:w="158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多层置物架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四层，碳钢喷塑，承重 80 kg</w:t>
            </w:r>
          </w:p>
        </w:tc>
        <w:tc>
          <w:tcPr>
            <w:tcW w:type="dxa" w:w="1928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358.00</w:t>
            </w:r>
          </w:p>
        </w:tc>
      </w:tr>
      <w:tr>
        <w:tc>
          <w:tcPr>
            <w:tcW w:type="dxa" w:w="62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YS-SB90</w:t>
            </w:r>
          </w:p>
        </w:tc>
        <w:tc>
          <w:tcPr>
            <w:tcW w:type="dxa" w:w="158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玄关换鞋凳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900×360×480 mm，实木框架</w:t>
            </w:r>
          </w:p>
        </w:tc>
        <w:tc>
          <w:tcPr>
            <w:tcW w:type="dxa" w:w="1928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198.00</w:t>
            </w:r>
          </w:p>
        </w:tc>
      </w:tr>
    </w:tbl>
    <w:p>
      <w:pPr>
        <w:spacing w:after="40"/>
      </w:pPr>
    </w:p>
    <w:p>
      <w:pPr>
        <w:pStyle w:val="Heading1"/>
      </w:pPr>
      <w:r>
        <w:t>附件二 产品规格书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92"/>
        <w:gridCol w:w="1792"/>
        <w:gridCol w:w="1792"/>
        <w:gridCol w:w="1792"/>
        <w:gridCol w:w="1792"/>
      </w:tblGrid>
      <w:tr>
        <w:tc>
          <w:tcPr>
            <w:tcW w:type="dxa" w:w="1077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型号</w:t>
            </w:r>
          </w:p>
        </w:tc>
        <w:tc>
          <w:tcPr>
            <w:tcW w:type="dxa" w:w="1984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主要材料</w:t>
            </w:r>
          </w:p>
        </w:tc>
        <w:tc>
          <w:tcPr>
            <w:tcW w:type="dxa" w:w="2381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尺寸与承重</w:t>
            </w:r>
          </w:p>
        </w:tc>
        <w:tc>
          <w:tcPr>
            <w:tcW w:type="dxa" w:w="2211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环保与安全</w:t>
            </w:r>
          </w:p>
        </w:tc>
        <w:tc>
          <w:tcPr>
            <w:tcW w:type="dxa" w:w="1361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包装</w:t>
            </w:r>
          </w:p>
        </w:tc>
      </w:tr>
      <w:tr>
        <w:tc>
          <w:tcPr>
            <w:tcW w:type="dxa" w:w="107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YS-WC120</w:t>
            </w:r>
          </w:p>
        </w:tc>
        <w:tc>
          <w:tcPr>
            <w:tcW w:type="dxa" w:w="198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E0 级刨花板，三聚氰胺饰面</w:t>
            </w:r>
          </w:p>
        </w:tc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1200×300×600 mm；搁板承重 20 kg</w:t>
            </w:r>
          </w:p>
        </w:tc>
        <w:tc>
          <w:tcPr>
            <w:tcW w:type="dxa" w:w="221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甲醛释放量符合 GB 18580 E0 级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五层瓦楞纸箱，护角</w:t>
            </w:r>
          </w:p>
        </w:tc>
      </w:tr>
      <w:tr>
        <w:tc>
          <w:tcPr>
            <w:tcW w:type="dxa" w:w="107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YS-FB60</w:t>
            </w:r>
          </w:p>
        </w:tc>
        <w:tc>
          <w:tcPr>
            <w:tcW w:type="dxa" w:w="198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聚丙烯（PP），无异味</w:t>
            </w:r>
          </w:p>
        </w:tc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600×400×360 mm；堆叠 4 层</w:t>
            </w:r>
          </w:p>
        </w:tc>
        <w:tc>
          <w:tcPr>
            <w:tcW w:type="dxa" w:w="221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不含邻苯二甲酸酯类增塑剂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10 件/捆</w:t>
            </w:r>
          </w:p>
        </w:tc>
      </w:tr>
      <w:tr>
        <w:tc>
          <w:tcPr>
            <w:tcW w:type="dxa" w:w="107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YS-SR400</w:t>
            </w:r>
          </w:p>
        </w:tc>
        <w:tc>
          <w:tcPr>
            <w:tcW w:type="dxa" w:w="198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碳钢管，环氧聚酯喷塑</w:t>
            </w:r>
          </w:p>
        </w:tc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800×350×1600 mm；每层承重 20 kg</w:t>
            </w:r>
          </w:p>
        </w:tc>
        <w:tc>
          <w:tcPr>
            <w:tcW w:type="dxa" w:w="221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涂层附着力 1 级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拆装包装，附五金包</w:t>
            </w:r>
          </w:p>
        </w:tc>
      </w:tr>
      <w:tr>
        <w:tc>
          <w:tcPr>
            <w:tcW w:type="dxa" w:w="107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YS-SB90</w:t>
            </w:r>
          </w:p>
        </w:tc>
        <w:tc>
          <w:tcPr>
            <w:tcW w:type="dxa" w:w="198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橡胶木框架，布艺坐垫</w:t>
            </w:r>
          </w:p>
        </w:tc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900×360×480 mm；承重 120 kg</w:t>
            </w:r>
          </w:p>
        </w:tc>
        <w:tc>
          <w:tcPr>
            <w:tcW w:type="dxa" w:w="221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木材含水率 8%-12%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珍珠棉包角，纸箱</w:t>
            </w:r>
          </w:p>
        </w:tc>
      </w:tr>
    </w:tbl>
    <w:p>
      <w:pPr>
        <w:spacing w:after="40"/>
      </w:pPr>
    </w:p>
    <w:p>
      <w:pPr>
        <w:pStyle w:val="Heading1"/>
      </w:pPr>
      <w:r>
        <w:t>季度订单（编号 DD-2027Q1-001）</w:t>
      </w:r>
    </w:p>
    <w:p>
      <w:r>
        <w:t>本订单依据 2026 年 12 月 18 日签订的《年度经销框架协议》（编号示例-JX-0002）发出。</w:t>
      </w:r>
    </w:p>
    <w:p>
      <w:r>
        <w:t>订购方（乙方）：沐川城市商贸有限公司；供货方（甲方）：云杉轻居家居用品有限公司。订单日期：2027 年 1 月 5 日。</w:t>
      </w:r>
    </w:p>
    <w:p>
      <w:pPr>
        <w:pStyle w:val="Heading2"/>
      </w:pPr>
      <w:r>
        <w:t>第一条 订购产品与价格</w:t>
      </w:r>
    </w:p>
    <w:p>
      <w:r>
        <w:t>1.1 订购产品、数量、单价及金额如下表（单价含税，税率 13%，币种人民币）。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93"/>
        <w:gridCol w:w="1493"/>
        <w:gridCol w:w="1493"/>
        <w:gridCol w:w="1493"/>
        <w:gridCol w:w="1493"/>
        <w:gridCol w:w="1493"/>
      </w:tblGrid>
      <w:tr>
        <w:tc>
          <w:tcPr>
            <w:tcW w:type="dxa" w:w="624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序号</w:t>
            </w:r>
          </w:p>
        </w:tc>
        <w:tc>
          <w:tcPr>
            <w:tcW w:type="dxa" w:w="1361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型号</w:t>
            </w:r>
          </w:p>
        </w:tc>
        <w:tc>
          <w:tcPr>
            <w:tcW w:type="dxa" w:w="1587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品名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数量（件）</w:t>
            </w:r>
          </w:p>
        </w:tc>
        <w:tc>
          <w:tcPr>
            <w:tcW w:type="dxa" w:w="2041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订单单价（元，含税）</w:t>
            </w:r>
          </w:p>
        </w:tc>
        <w:tc>
          <w:tcPr>
            <w:tcW w:type="dxa" w:w="1928"/>
            <w:shd w:val="clear" w:color="auto" w:fill="EDEDED"/>
          </w:tcPr>
          <w:p>
            <w:pPr>
              <w:spacing w:after="20" w:line="276" w:lineRule="auto"/>
              <w:jc w:val="center"/>
            </w:pPr>
            <w:r/>
            <w:r>
              <w:rPr>
                <w:b/>
                <w:sz w:val="19"/>
              </w:rPr>
              <w:t>金额（元，含税）</w:t>
            </w:r>
          </w:p>
        </w:tc>
      </w:tr>
      <w:tr>
        <w:tc>
          <w:tcPr>
            <w:tcW w:type="dxa" w:w="62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YS-WC120</w:t>
            </w:r>
          </w:p>
        </w:tc>
        <w:tc>
          <w:tcPr>
            <w:tcW w:type="dxa" w:w="158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壁挂收纳柜</w:t>
            </w:r>
          </w:p>
        </w:tc>
        <w:tc>
          <w:tcPr>
            <w:tcW w:type="dxa" w:w="124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400</w:t>
            </w:r>
          </w:p>
        </w:tc>
        <w:tc>
          <w:tcPr>
            <w:tcW w:type="dxa" w:w="204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245.00</w:t>
            </w:r>
          </w:p>
        </w:tc>
        <w:tc>
          <w:tcPr>
            <w:tcW w:type="dxa" w:w="1928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98,000.00</w:t>
            </w:r>
          </w:p>
        </w:tc>
      </w:tr>
      <w:tr>
        <w:tc>
          <w:tcPr>
            <w:tcW w:type="dxa" w:w="62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YS-FB60</w:t>
            </w:r>
          </w:p>
        </w:tc>
        <w:tc>
          <w:tcPr>
            <w:tcW w:type="dxa" w:w="158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折叠收纳箱</w:t>
            </w:r>
          </w:p>
        </w:tc>
        <w:tc>
          <w:tcPr>
            <w:tcW w:type="dxa" w:w="124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1500</w:t>
            </w:r>
          </w:p>
        </w:tc>
        <w:tc>
          <w:tcPr>
            <w:tcW w:type="dxa" w:w="204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79.00</w:t>
            </w:r>
          </w:p>
        </w:tc>
        <w:tc>
          <w:tcPr>
            <w:tcW w:type="dxa" w:w="1928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118,500.00</w:t>
            </w:r>
          </w:p>
        </w:tc>
      </w:tr>
      <w:tr>
        <w:tc>
          <w:tcPr>
            <w:tcW w:type="dxa" w:w="62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YS-SR400</w:t>
            </w:r>
          </w:p>
        </w:tc>
        <w:tc>
          <w:tcPr>
            <w:tcW w:type="dxa" w:w="158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多层置物架</w:t>
            </w:r>
          </w:p>
        </w:tc>
        <w:tc>
          <w:tcPr>
            <w:tcW w:type="dxa" w:w="124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300</w:t>
            </w:r>
          </w:p>
        </w:tc>
        <w:tc>
          <w:tcPr>
            <w:tcW w:type="dxa" w:w="204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329.00</w:t>
            </w:r>
          </w:p>
        </w:tc>
        <w:tc>
          <w:tcPr>
            <w:tcW w:type="dxa" w:w="1928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98,700.00</w:t>
            </w:r>
          </w:p>
        </w:tc>
      </w:tr>
      <w:tr>
        <w:tc>
          <w:tcPr>
            <w:tcW w:type="dxa" w:w="62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YS-SB90</w:t>
            </w:r>
          </w:p>
        </w:tc>
        <w:tc>
          <w:tcPr>
            <w:tcW w:type="dxa" w:w="158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玄关换鞋凳</w:t>
            </w:r>
          </w:p>
        </w:tc>
        <w:tc>
          <w:tcPr>
            <w:tcW w:type="dxa" w:w="124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500</w:t>
            </w:r>
          </w:p>
        </w:tc>
        <w:tc>
          <w:tcPr>
            <w:tcW w:type="dxa" w:w="204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182.00</w:t>
            </w:r>
          </w:p>
        </w:tc>
        <w:tc>
          <w:tcPr>
            <w:tcW w:type="dxa" w:w="1928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91,000.00</w:t>
            </w:r>
          </w:p>
        </w:tc>
      </w:tr>
      <w:tr>
        <w:tc>
          <w:tcPr>
            <w:tcW w:type="dxa" w:w="624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合计</w:t>
            </w:r>
          </w:p>
        </w:tc>
        <w:tc>
          <w:tcPr>
            <w:tcW w:type="dxa" w:w="158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2,700</w:t>
            </w:r>
          </w:p>
        </w:tc>
        <w:tc>
          <w:tcPr>
            <w:tcW w:type="dxa" w:w="2041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 w:line="276" w:lineRule="auto"/>
            </w:pPr>
            <w:r/>
            <w:r>
              <w:rPr>
                <w:sz w:val="19"/>
              </w:rPr>
              <w:t>406,200.00</w:t>
            </w:r>
          </w:p>
        </w:tc>
      </w:tr>
    </w:tbl>
    <w:p>
      <w:pPr>
        <w:spacing w:after="40"/>
      </w:pPr>
    </w:p>
    <w:p>
      <w:r>
        <w:t>1.2 订单总金额为人民币 406,200.00 元（大写：肆拾万陆仟贰佰元整），其中不含税金额 359,469.03 元，税额 46,730.97 元。</w:t>
      </w:r>
    </w:p>
    <w:p>
      <w:pPr>
        <w:pStyle w:val="Heading2"/>
      </w:pPr>
      <w:r>
        <w:t>第二条 交付</w:t>
      </w:r>
    </w:p>
    <w:p>
      <w:r>
        <w:t>2.1 交货地点：湖北省武汉市洪山区光谷大道 18 号乙方仓库。分两批交付：第一批 2027 年 1 月 25 日前，第二批 2027 年 3 月 10 日前。</w:t>
      </w:r>
    </w:p>
    <w:p>
      <w:r>
        <w:t>2.2 乙方仓库人员在送货单上签收，作为交付凭证；风险自签收之时起转移。</w:t>
      </w:r>
    </w:p>
    <w:p>
      <w:pPr>
        <w:pStyle w:val="Heading2"/>
      </w:pPr>
      <w:r>
        <w:t>第三条 付款与发票</w:t>
      </w:r>
    </w:p>
    <w:p>
      <w:r>
        <w:t>3.1 本订单付款、发票、验收和质保按框架协议的约定执行。</w:t>
      </w:r>
    </w:p>
    <w:p>
      <w:r>
        <w:t>3.2 乙方应在订单确认后 5 日内支付预付款人民币 121,860.00 元（订单金额的 30%）。</w:t>
      </w:r>
    </w:p>
    <w:p>
      <w:pPr>
        <w:pStyle w:val="Heading2"/>
      </w:pPr>
      <w:r>
        <w:t>第四条 订单效力</w:t>
      </w:r>
    </w:p>
    <w:p>
      <w:commentRangeStart w:id="7"/>
      <w:r>
        <w:t>4.1 本订单与框架协议不一致的，以本订单为准。</w:t>
      </w:r>
      <w:commentRangeEnd w:id="7"/>
      <w:r>
        <w:rPr>
          <w:rStyle w:val="CommentReference"/>
        </w:rPr>
        <w:commentReference w:id="7"/>
      </w:r>
    </w:p>
    <w:p>
      <w:r>
        <w:t>4.2 本订单自甲方书面确认之日起成立。</w:t>
      </w:r>
    </w:p>
    <w:p>
      <w:pPr>
        <w:spacing w:before="280"/>
        <w:jc w:val="center"/>
      </w:pPr>
      <w:r>
        <w:t>（以下无正文）</w:t>
      </w:r>
    </w:p>
    <w:p>
      <w:pPr>
        <w:spacing w:before="160"/>
      </w:pPr>
      <w:r>
        <w:t>甲方（盖章）：云杉轻居家居用品有限公司</w:t>
      </w:r>
    </w:p>
    <w:p>
      <w:r>
        <w:t>盖章：[公章]</w:t>
      </w:r>
    </w:p>
    <w:p>
      <w:r>
        <w:t>签字：许清远（法定代表人）</w:t>
      </w:r>
    </w:p>
    <w:p>
      <w:r>
        <w:t>日期：2027年1月6日</w:t>
      </w:r>
    </w:p>
    <w:p>
      <w:pPr>
        <w:spacing w:before="160"/>
      </w:pPr>
      <w:r>
        <w:t>乙方（盖章）：沐川城市商贸有限公司</w:t>
      </w:r>
    </w:p>
    <w:p>
      <w:r>
        <w:t>盖章：[公章]</w:t>
      </w:r>
    </w:p>
    <w:p>
      <w:r>
        <w:t>签字：邓志远（法定代表人）</w:t>
      </w:r>
    </w:p>
    <w:p>
      <w:r>
        <w:t>日期：2027年1月5日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74" w:bottom="1304" w:left="1474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合同风险审查助手（辅助初审）" w:initials="审" w:date="2026-10-10T13:21:21Z">
    <w:p>
      <w:pPr>
        <w:pStyle w:val="CommentText"/>
      </w:pPr>
      <w:r>
        <w:rPr>
          <w:rStyle w:val="CommentReference"/>
        </w:rPr>
        <w:annotationRef/>
      </w:r>
      <w:r>
        <w:t>【红】对方可单方调价</w:t>
      </w:r>
    </w:p>
    <w:p>
      <w:pPr>
        <w:pStyle w:val="CommentText"/>
      </w:pPr>
      <w:r>
        <w:t>问题：乙方可单方调整价格。</w:t>
      </w:r>
    </w:p>
    <w:p>
      <w:pPr>
        <w:pStyle w:val="CommentText"/>
      </w:pPr>
      <w:r>
        <w:t>风险说明：价格可由对方单方调整，合同约定的价格实际不锁定，我方利润或成本随对方决定变化。</w:t>
      </w:r>
    </w:p>
    <w:p>
      <w:pPr>
        <w:pStyle w:val="CommentText"/>
      </w:pPr>
      <w:r>
        <w:t>修改方向：删除单方调价；确需调价的，约定触发条件、调整幅度上限，并须双方书面确认。</w:t>
      </w:r>
    </w:p>
    <w:p>
      <w:pPr>
        <w:pStyle w:val="CommentText"/>
      </w:pPr>
      <w:r>
        <w:t>修改示例：合同价格在有效期内固定。如需调整，须经双方书面协商一致并签署补充协议，未达成一致前按原价格执行。</w:t>
      </w:r>
    </w:p>
    <w:p>
      <w:pPr>
        <w:pStyle w:val="CommentText"/>
      </w:pPr>
      <w:r>
        <w:t>涉及条款：第四条 价格、价格保护与税率</w:t>
      </w:r>
    </w:p>
    <w:p>
      <w:pPr>
        <w:pStyle w:val="CommentText"/>
      </w:pPr>
      <w:r>
        <w:t>辅助初审，不构成法律意见。</w:t>
      </w:r>
    </w:p>
  </w:comment>
  <w:comment w:id="1" w:author="合同风险审查助手（辅助初审）" w:initials="审" w:date="2026-10-10T13:21:21Z">
    <w:p>
      <w:pPr>
        <w:pStyle w:val="CommentText"/>
      </w:pPr>
      <w:r>
        <w:rPr>
          <w:rStyle w:val="CommentReference"/>
        </w:rPr>
        <w:annotationRef/>
      </w:r>
      <w:r>
        <w:t>【红】账期超过上限</w:t>
      </w:r>
    </w:p>
    <w:p>
      <w:pPr>
        <w:pStyle w:val="CommentText"/>
      </w:pPr>
      <w:r>
        <w:t>问题：账期 90 天，超过账期上限 60 天。</w:t>
      </w:r>
    </w:p>
    <w:p>
      <w:pPr>
        <w:pStyle w:val="CommentText"/>
      </w:pPr>
      <w:r>
        <w:t>风险说明：账期越长，我方垫付的资金越多，对方经营出问题时回款风险越大。</w:t>
      </w:r>
    </w:p>
    <w:p>
      <w:pPr>
        <w:pStyle w:val="CommentText"/>
      </w:pPr>
      <w:r>
        <w:t>修改方向：缩短账期至公司上限以内，或以更高预付比例换取账期。</w:t>
      </w:r>
    </w:p>
    <w:p>
      <w:pPr>
        <w:pStyle w:val="CommentText"/>
      </w:pPr>
      <w:r>
        <w:t>修改示例：甲方应在货物验收合格之日起××日内支付货款。</w:t>
      </w:r>
    </w:p>
    <w:p>
      <w:pPr>
        <w:pStyle w:val="CommentText"/>
      </w:pPr>
      <w:r>
        <w:t>涉及条款：第五条 付款方式</w:t>
      </w:r>
    </w:p>
    <w:p>
      <w:pPr>
        <w:pStyle w:val="CommentText"/>
      </w:pPr>
      <w:r>
        <w:t>辅助初审，不构成法律意见。</w:t>
      </w:r>
    </w:p>
  </w:comment>
  <w:comment w:id="2" w:author="合同风险审查助手（辅助初审）" w:initials="审" w:date="2026-10-10T13:21:21Z">
    <w:p>
      <w:pPr>
        <w:pStyle w:val="CommentText"/>
      </w:pPr>
      <w:r>
        <w:rPr>
          <w:rStyle w:val="CommentReference"/>
        </w:rPr>
        <w:annotationRef/>
      </w:r>
      <w:r>
        <w:t>【红】排他限制无对价</w:t>
      </w:r>
    </w:p>
    <w:p>
      <w:pPr>
        <w:pStyle w:val="CommentText"/>
      </w:pPr>
      <w:r>
        <w:t>问题：我方受排他或区域限制，对方没有最低采购量等对应承诺。</w:t>
      </w:r>
    </w:p>
    <w:p>
      <w:pPr>
        <w:pStyle w:val="CommentText"/>
      </w:pPr>
      <w:r>
        <w:t>风险说明：我方被限制向第三方供货或在区域内销售，对方却没有最低采购量承诺，等于我方的市场被锁死。</w:t>
      </w:r>
    </w:p>
    <w:p>
      <w:pPr>
        <w:pStyle w:val="CommentText"/>
      </w:pPr>
      <w:r>
        <w:t>修改方向：删除排他；或要求对方承诺年度最低采购量，未达成时我方可取消排他。</w:t>
      </w:r>
    </w:p>
    <w:p>
      <w:pPr>
        <w:pStyle w:val="CommentText"/>
      </w:pPr>
      <w:r>
        <w:t>修改示例：乙方年度采购额不低于××万元；未达到的，甲方有权取消乙方的区域独家权并向第三方供货。</w:t>
      </w:r>
    </w:p>
    <w:p>
      <w:pPr>
        <w:pStyle w:val="CommentText"/>
      </w:pPr>
      <w:r>
        <w:t>涉及条款：第二条 经销区域与期限</w:t>
      </w:r>
    </w:p>
    <w:p>
      <w:pPr>
        <w:pStyle w:val="CommentText"/>
      </w:pPr>
      <w:r>
        <w:t>辅助初审，不构成法律意见。</w:t>
      </w:r>
    </w:p>
  </w:comment>
  <w:comment w:id="3" w:author="合同风险审查助手（辅助初审）" w:initials="审" w:date="2026-10-10T13:21:21Z">
    <w:p>
      <w:pPr>
        <w:pStyle w:val="CommentText"/>
      </w:pPr>
      <w:r>
        <w:rPr>
          <w:rStyle w:val="CommentReference"/>
        </w:rPr>
        <w:annotationRef/>
      </w:r>
      <w:r>
        <w:t>【红】或裁或审并存</w:t>
      </w:r>
    </w:p>
    <w:p>
      <w:pPr>
        <w:pStyle w:val="CommentText"/>
      </w:pPr>
      <w:r>
        <w:t>问题：同时约定可以仲裁、也可以起诉。</w:t>
      </w:r>
    </w:p>
    <w:p>
      <w:pPr>
        <w:pStyle w:val="CommentText"/>
      </w:pPr>
      <w:r>
        <w:t>风险说明：同时约定仲裁和诉讼，仲裁约定可能因此无效，纠纷发生时先要为去哪里打官司打一轮。</w:t>
      </w:r>
    </w:p>
    <w:p>
      <w:pPr>
        <w:pStyle w:val="CommentText"/>
      </w:pPr>
      <w:r>
        <w:t>修改方向：只选一种方式，并写明具体机构名称。</w:t>
      </w:r>
    </w:p>
    <w:p>
      <w:pPr>
        <w:pStyle w:val="CommentText"/>
      </w:pPr>
      <w:r>
        <w:t>修改示例：因本合同产生的争议，提交××仲裁委员会按其仲裁规则仲裁。（或：由××市××区人民法院管辖。）</w:t>
      </w:r>
    </w:p>
    <w:p>
      <w:pPr>
        <w:pStyle w:val="CommentText"/>
      </w:pPr>
      <w:r>
        <w:t>涉及条款：第十六条 争议解决</w:t>
      </w:r>
    </w:p>
    <w:p>
      <w:pPr>
        <w:pStyle w:val="CommentText"/>
      </w:pPr>
      <w:r>
        <w:t>辅助初审，不构成法律意见。</w:t>
      </w:r>
    </w:p>
  </w:comment>
  <w:comment w:id="4" w:author="合同风险审查助手（辅助初审）" w:initials="审" w:date="2026-10-10T13:21:21Z">
    <w:p>
      <w:pPr>
        <w:pStyle w:val="CommentText"/>
      </w:pPr>
      <w:r>
        <w:rPr>
          <w:rStyle w:val="CommentReference"/>
        </w:rPr>
        <w:annotationRef/>
      </w:r>
      <w:r>
        <w:t>【黄】账期自收到发票起算</w:t>
      </w:r>
    </w:p>
    <w:p>
      <w:pPr>
        <w:pStyle w:val="CommentText"/>
      </w:pPr>
      <w:r>
        <w:t>问题：账期自对方收到发票起算，对方迟收发票或退票，账期就不起算。</w:t>
      </w:r>
    </w:p>
    <w:p>
      <w:pPr>
        <w:pStyle w:val="CommentText"/>
      </w:pPr>
      <w:r>
        <w:t>风险说明：对方迟迟不收票或以发票有问题为由退票，账期就不起算。</w:t>
      </w:r>
    </w:p>
    <w:p>
      <w:pPr>
        <w:pStyle w:val="CommentText"/>
      </w:pPr>
      <w:r>
        <w:t>修改方向：账期改为自发货、签收或对账起算，开票作为付款条件之一，不作为起算点。</w:t>
      </w:r>
    </w:p>
    <w:p>
      <w:pPr>
        <w:pStyle w:val="CommentText"/>
      </w:pPr>
      <w:r>
        <w:t>修改示例：甲方应在货物签收之日起××日内付款，乙方应在付款前开具合规发票。</w:t>
      </w:r>
    </w:p>
    <w:p>
      <w:pPr>
        <w:pStyle w:val="CommentText"/>
      </w:pPr>
      <w:r>
        <w:t>涉及条款：第五条 付款方式</w:t>
      </w:r>
    </w:p>
    <w:p>
      <w:pPr>
        <w:pStyle w:val="CommentText"/>
      </w:pPr>
      <w:r>
        <w:t>辅助初审，不构成法律意见。</w:t>
      </w:r>
    </w:p>
  </w:comment>
  <w:comment w:id="5" w:author="合同风险审查助手（辅助初审）" w:initials="审" w:date="2026-10-10T13:21:21Z">
    <w:p>
      <w:pPr>
        <w:pStyle w:val="CommentText"/>
      </w:pPr>
      <w:r>
        <w:rPr>
          <w:rStyle w:val="CommentReference"/>
        </w:rPr>
        <w:annotationRef/>
      </w:r>
      <w:r>
        <w:t>【黄】开票时间不受我方控制</w:t>
      </w:r>
    </w:p>
    <w:p>
      <w:pPr>
        <w:pStyle w:val="CommentText"/>
      </w:pPr>
      <w:r>
        <w:t>问题：开票时间由乙方决定或通知。</w:t>
      </w:r>
    </w:p>
    <w:p>
      <w:pPr>
        <w:pStyle w:val="CommentText"/>
      </w:pPr>
      <w:r>
        <w:t>风险说明：开票时间由对方决定或没有时限，与开票挂钩的付款和账期随之不确定。</w:t>
      </w:r>
    </w:p>
    <w:p>
      <w:pPr>
        <w:pStyle w:val="CommentText"/>
      </w:pPr>
      <w:r>
        <w:t>修改方向：写明开票时限，或改为我方按约定节点开票、对方不得拒收。</w:t>
      </w:r>
    </w:p>
    <w:p>
      <w:pPr>
        <w:pStyle w:val="CommentText"/>
      </w:pPr>
      <w:r>
        <w:t>修改示例：乙方应在货物发出后 5 个工作日内开具发票；甲方不得以未通知开票为由拒收发票或延迟付款。</w:t>
      </w:r>
    </w:p>
    <w:p>
      <w:pPr>
        <w:pStyle w:val="CommentText"/>
      </w:pPr>
      <w:r>
        <w:t>涉及条款：第六条 发票</w:t>
      </w:r>
    </w:p>
    <w:p>
      <w:pPr>
        <w:pStyle w:val="CommentText"/>
      </w:pPr>
      <w:r>
        <w:t>辅助初审，不构成法律意见。</w:t>
      </w:r>
    </w:p>
  </w:comment>
  <w:comment w:id="6" w:author="合同风险审查助手（辅助初审）" w:initials="审" w:date="2026-10-10T13:21:21Z">
    <w:p>
      <w:pPr>
        <w:pStyle w:val="CommentText"/>
      </w:pPr>
      <w:r>
        <w:rPr>
          <w:rStyle w:val="CommentReference"/>
        </w:rPr>
        <w:annotationRef/>
      </w:r>
      <w:r>
        <w:t>【黄】质保金无到期自动支付</w:t>
      </w:r>
    </w:p>
    <w:p>
      <w:pPr>
        <w:pStyle w:val="CommentText"/>
      </w:pPr>
      <w:r>
        <w:t>问题：质保金 10%，期满后没有自动支付或无异议即付的约定。</w:t>
      </w:r>
    </w:p>
    <w:p>
      <w:pPr>
        <w:pStyle w:val="CommentText"/>
      </w:pPr>
      <w:r>
        <w:t>风险说明：质保期满后对方不主动付，质保金就一直挂着，往往要催很久或要起诉。</w:t>
      </w:r>
    </w:p>
    <w:p>
      <w:pPr>
        <w:pStyle w:val="CommentText"/>
      </w:pPr>
      <w:r>
        <w:t>修改方向：约定质保期满无书面质量异议的，对方在若干日内无条件支付质保金。</w:t>
      </w:r>
    </w:p>
    <w:p>
      <w:pPr>
        <w:pStyle w:val="CommentText"/>
      </w:pPr>
      <w:r>
        <w:t>修改示例：质保期满后××日内，甲方未提出书面质量异议的，应无条件支付剩余质保金。</w:t>
      </w:r>
    </w:p>
    <w:p>
      <w:pPr>
        <w:pStyle w:val="CommentText"/>
      </w:pPr>
      <w:r>
        <w:t>涉及条款：第五条 付款方式</w:t>
      </w:r>
    </w:p>
    <w:p>
      <w:pPr>
        <w:pStyle w:val="CommentText"/>
      </w:pPr>
      <w:r>
        <w:t>辅助初审，不构成法律意见。</w:t>
      </w:r>
    </w:p>
  </w:comment>
  <w:comment w:id="7" w:author="合同风险审查助手（辅助初审）" w:initials="审" w:date="2026-10-10T13:21:21Z">
    <w:p>
      <w:pPr>
        <w:pStyle w:val="CommentText"/>
      </w:pPr>
      <w:r>
        <w:rPr>
          <w:rStyle w:val="CommentReference"/>
        </w:rPr>
        <w:annotationRef/>
      </w:r>
      <w:r>
        <w:t>【黄】订单可覆盖框架约定</w:t>
      </w:r>
    </w:p>
    <w:p>
      <w:pPr>
        <w:pStyle w:val="CommentText"/>
      </w:pPr>
      <w:r>
        <w:t>问题：订单可另行约定并优先于框架协议，框架里的价格保护、质保等约定可能被订单覆盖。</w:t>
      </w:r>
    </w:p>
    <w:p>
      <w:pPr>
        <w:pStyle w:val="CommentText"/>
      </w:pPr>
      <w:r>
        <w:t>风险说明：框架里谈好的价格保护、质保等约定，可能被一张订单的一句话改掉。</w:t>
      </w:r>
    </w:p>
    <w:p>
      <w:pPr>
        <w:pStyle w:val="CommentText"/>
      </w:pPr>
      <w:r>
        <w:t>修改方向：写明框架优先，订单只约定数量、交期、交货地点，变更框架条款须双方书面确认。</w:t>
      </w:r>
    </w:p>
    <w:p>
      <w:pPr>
        <w:pStyle w:val="CommentText"/>
      </w:pPr>
      <w:r>
        <w:t>修改示例：订单与本框架协议不一致的，以本框架协议为准，但双方在订单中明确援引并书面确认修改框架条款的除外。</w:t>
      </w:r>
    </w:p>
    <w:p>
      <w:pPr>
        <w:pStyle w:val="CommentText"/>
      </w:pPr>
      <w:r>
        <w:t>涉及条款：季度订单 第四条 订单效力</w:t>
      </w:r>
    </w:p>
    <w:p>
      <w:pPr>
        <w:pStyle w:val="CommentText"/>
      </w:pPr>
      <w:r>
        <w:t>辅助初审，不构成法律意见。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示例合同　第 </w:t>
    </w:r>
    <w:r>
      <w:rPr>
        <w:sz w:val="18"/>
      </w:rPr>
      <w:fldChar w:fldCharType="begin"/>
      <w:instrText xml:space="preserve">PAGE</w:instrText>
      <w:fldChar w:fldCharType="end"/>
    </w:r>
    <w:r>
      <w:rPr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808080"/>
        <w:sz w:val="18"/>
      </w:rPr>
      <w:t>示例合同 · 当事人与数据均为虚构 · 年度经销框架协议及季度订单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60"/>
    </w:pPr>
    <w:rPr>
      <w:rFonts w:ascii="Times New Roman" w:hAnsi="Times New Roman" w:eastAsia="宋体" w:cs="Times New Roman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jc w:val="center"/>
      <w:outlineLvl w:val="0"/>
    </w:pPr>
    <w:rPr>
      <w:rFonts w:ascii="Times New Roman" w:hAnsi="Times New Roman" w:eastAsia="黑体" w:cs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="Times New Roman" w:hAnsi="Times New Roman" w:eastAsia="黑体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  <w:jc w:val="center"/>
    </w:pPr>
    <w:rPr>
      <w:rFonts w:ascii="Times New Roman" w:hAnsi="Times New Roman" w:eastAsia="黑体" w:cs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