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B4433A"/>
          <w:sz w:val="22"/>
          <w:rFonts w:eastAsia="宋体"/>
        </w:rPr>
        <w:t>辅助初审，不构成法律意见；规则表为通用口径，未经律师审定；重要条款以律师意见为准。</w:t>
      </w:r>
    </w:p>
    <w:p>
      <w:pPr>
        <w:spacing w:after="80"/>
      </w:pPr>
      <w:r>
        <w:rPr>
          <w:color w:val="5B6B70"/>
          <w:sz w:val="20"/>
          <w:rFonts w:eastAsia="宋体"/>
        </w:rPr>
        <w:t>示例数据。公司与数字均为虚构。</w:t>
      </w:r>
    </w:p>
    <w:p>
      <w:pPr>
        <w:spacing w:after="80"/>
      </w:pPr>
      <w:r>
        <w:rPr>
          <w:b/>
          <w:sz w:val="32"/>
          <w:rFonts w:eastAsia="宋体"/>
        </w:rPr>
        <w:t>合同风险审查助手：批注版</w:t>
      </w:r>
    </w:p>
    <w:p>
      <w:pPr>
        <w:spacing w:after="80"/>
      </w:pPr>
      <w:r>
        <w:rPr>
          <w:rFonts w:eastAsia="宋体"/>
        </w:rPr>
        <w:t>合同：委托加工与设计服务合同</w:t>
      </w:r>
    </w:p>
    <w:p>
      <w:pPr>
        <w:spacing w:after="80"/>
      </w:pPr>
      <w:r>
        <w:rPr>
          <w:b/>
          <w:color w:val="B4433A"/>
          <w:rFonts w:eastAsia="宋体"/>
        </w:rPr>
        <w:t>本合同风险：红（整份取最高档，未见此条不计入）；红 4 项、黄 4 项、未见此条 1 项、未审查 0 项、绿 16 项。本次适用 23 条规则，共 25 项检查。</w:t>
      </w:r>
    </w:p>
    <w:p>
      <w:pPr>
        <w:spacing w:after="80"/>
      </w:pPr>
      <w:r>
        <w:rPr>
          <w:rFonts w:eastAsia="宋体"/>
        </w:rPr>
        <w:t>我方立场：卖方（我方：乙方；对方：甲方）　合同金额：560,000 元</w:t>
      </w:r>
    </w:p>
    <w:p>
      <w:pPr>
        <w:spacing w:after="80"/>
      </w:pPr>
      <w:r>
        <w:rPr>
          <w:rFonts w:eastAsia="宋体"/>
        </w:rPr>
        <w:t>审查日期：2026年10月10日</w:t>
      </w:r>
    </w:p>
    <w:p>
      <w:pPr>
        <w:spacing w:after="80"/>
      </w:pPr>
      <w:r>
        <w:rPr>
          <w:rFonts w:eastAsia="宋体"/>
        </w:rPr>
        <w:t>本批注版含红、黄项：合同金额 560,000 元，达到律师复核金额门槛 500,000 元。共 8 条批注，批注作者“合同风险审查助手（辅助初审）”。</w:t>
      </w:r>
    </w:p>
    <w:p>
      <w:pPr>
        <w:spacing w:after="80"/>
      </w:pPr>
      <w:r>
        <w:rPr>
          <w:b/>
          <w:rFonts w:eastAsia="宋体"/>
        </w:rPr>
        <w:t>未审查的部分（系统没有读到或没能核对上，不能判为合格，需人工查看原文）：</w:t>
      </w:r>
    </w:p>
    <w:p>
      <w:pPr>
        <w:spacing w:after="80"/>
      </w:pPr>
      <w:r>
        <w:rPr>
          <w:rFonts w:eastAsia="宋体"/>
        </w:rPr>
        <w:t xml:space="preserve">　无。</w:t>
      </w:r>
    </w:p>
    <w:p>
      <w:pPr>
        <w:spacing w:after="80"/>
      </w:pPr>
      <w:r>
        <w:rPr>
          <w:b/>
          <w:rFonts w:eastAsia="宋体"/>
        </w:rPr>
        <w:t>未见此条（合同里没找到这一条。没写不等于没风险，要不要补由你们定，拿不准的问律师。只列名称，不写进正文批注）：</w:t>
      </w:r>
    </w:p>
    <w:p>
      <w:pPr>
        <w:spacing w:after="80"/>
      </w:pPr>
      <w:r>
        <w:rPr>
          <w:rFonts w:eastAsia="宋体"/>
        </w:rPr>
        <w:t xml:space="preserve">　· 图纸模具工装归属不明</w:t>
      </w:r>
    </w:p>
    <w:p>
      <w:r>
        <w:br w:type="page"/>
      </w:r>
    </w:p>
    <w:p>
      <w:pPr>
        <w:pStyle w:val="Title"/>
      </w:pPr>
      <w:r>
        <w:t>委托加工与设计服务合同</w:t>
      </w:r>
    </w:p>
    <w:p>
      <w:pPr>
        <w:jc w:val="center"/>
      </w:pPr>
      <w:r>
        <w:t>（示例：当事人与数据均为虚构）</w:t>
      </w:r>
    </w:p>
    <w:p>
      <w:pPr>
        <w:jc w:val="center"/>
      </w:pPr>
      <w:commentRangeStart w:id="7"/>
      <w:r>
        <w:t>甲方回传修改稿（已修改）</w:t>
      </w:r>
      <w:commentRangeEnd w:id="7"/>
      <w:r>
        <w:rPr>
          <w:rStyle w:val="CommentReference"/>
        </w:rPr>
        <w:commentReference w:id="7"/>
      </w:r>
    </w:p>
    <w:p>
      <w:r>
        <w:t>合同编号：示例-WT-0003</w:t>
      </w:r>
    </w:p>
    <w:p>
      <w:r>
        <w:t>签订地：江苏省苏州市</w:t>
      </w:r>
    </w:p>
    <w:p>
      <w:r>
        <w:t>签订日期：2026年10月28日</w:t>
      </w:r>
    </w:p>
    <w:p>
      <w:r>
        <w:t>甲方（委托方）：岚谷智能电器有限公司</w:t>
      </w:r>
    </w:p>
    <w:p>
      <w:pPr>
        <w:spacing w:after="0"/>
        <w:ind w:left="340"/>
      </w:pPr>
      <w:r>
        <w:t>住所：江苏省苏州市吴江区开发大道 120 号</w:t>
      </w:r>
    </w:p>
    <w:p>
      <w:pPr>
        <w:spacing w:after="0"/>
        <w:ind w:left="340"/>
      </w:pPr>
      <w:r>
        <w:t>法定代表人：冯叙白</w:t>
      </w:r>
    </w:p>
    <w:p>
      <w:pPr>
        <w:spacing w:after="0"/>
        <w:ind w:left="340"/>
      </w:pPr>
      <w:r>
        <w:t>联系人：秦思远</w:t>
      </w:r>
    </w:p>
    <w:p>
      <w:pPr>
        <w:spacing w:after="0"/>
        <w:ind w:left="340"/>
      </w:pPr>
      <w:r>
        <w:t>电话：0512-5550-5005</w:t>
      </w:r>
    </w:p>
    <w:p>
      <w:pPr>
        <w:spacing w:after="0"/>
        <w:ind w:left="340"/>
      </w:pPr>
      <w:r>
        <w:t>电子邮箱：qinsy@langu-demo.example</w:t>
      </w:r>
    </w:p>
    <w:p>
      <w:r>
        <w:t>乙方（受托方）：拓衡精密加工有限公司</w:t>
      </w:r>
    </w:p>
    <w:p>
      <w:pPr>
        <w:spacing w:after="0"/>
        <w:ind w:left="340"/>
      </w:pPr>
      <w:r>
        <w:t>住所：广东省东莞市长安镇振安路 35 号</w:t>
      </w:r>
    </w:p>
    <w:p>
      <w:pPr>
        <w:spacing w:after="0"/>
        <w:ind w:left="340"/>
      </w:pPr>
      <w:r>
        <w:t>法定代表人：陈立业</w:t>
      </w:r>
    </w:p>
    <w:p>
      <w:pPr>
        <w:spacing w:after="0"/>
        <w:ind w:left="340"/>
      </w:pPr>
      <w:r>
        <w:t>联系人：罗嘉宁</w:t>
      </w:r>
    </w:p>
    <w:p>
      <w:pPr>
        <w:spacing w:after="0"/>
        <w:ind w:left="340"/>
      </w:pPr>
      <w:r>
        <w:t>电话：0769-5550-6006</w:t>
      </w:r>
    </w:p>
    <w:p>
      <w:pPr>
        <w:spacing w:after="0"/>
        <w:ind w:left="340"/>
      </w:pPr>
      <w:r>
        <w:t>电子邮箱：luojn@tuoheng-demo.example</w:t>
      </w:r>
    </w:p>
    <w:p>
      <w:r>
        <w:t>甲方委托乙方对其提供的铝合金毛坯件进行来料加工，并由乙方出具相应的加工工艺方案。依据《中华人民共和国民法典》等法律法规，双方经平等协商，订立本合同。</w:t>
      </w:r>
    </w:p>
    <w:p>
      <w:pPr>
        <w:pStyle w:val="Heading2"/>
      </w:pPr>
      <w:r>
        <w:t>第一条 委托事项、规格与数量</w:t>
      </w:r>
    </w:p>
    <w:p>
      <w:r>
        <w:t>1.1 甲方委托乙方完成以下工作：（1）对甲方提供的铝合金毛坯件进行数控加工，加工内容、数量见下表；（2）为上述产品出具《加工工艺方案》，交付内容见附件二。</w:t>
      </w:r>
    </w:p>
    <w:tbl>
      <w:tblPr>
        <w:tblStyle w:val="TableGrid"/>
        <w:tblW w:type="auto" w:w="0"/>
        <w:jc w:val="center"/>
        <w:tblLook w:firstColumn="1" w:firstRow="1" w:lastColumn="0" w:lastRow="0" w:noHBand="0" w:noVBand="1" w:val="04A0"/>
      </w:tblPr>
      <w:tblGrid>
        <w:gridCol w:w="1280"/>
        <w:gridCol w:w="1280"/>
        <w:gridCol w:w="1280"/>
        <w:gridCol w:w="1280"/>
        <w:gridCol w:w="1280"/>
        <w:gridCol w:w="1280"/>
        <w:gridCol w:w="1280"/>
      </w:tblGrid>
      <w:tr>
        <w:tc>
          <w:tcPr>
            <w:tcW w:type="dxa" w:w="624"/>
            <w:shd w:val="clear" w:color="auto" w:fill="EDEDED"/>
          </w:tcPr>
          <w:p>
            <w:pPr>
              <w:spacing w:after="20" w:line="276" w:lineRule="auto"/>
              <w:jc w:val="center"/>
            </w:pPr>
            <w:r/>
            <w:r>
              <w:rPr>
                <w:b/>
                <w:sz w:val="19"/>
              </w:rPr>
              <w:t>序号</w:t>
            </w:r>
          </w:p>
        </w:tc>
        <w:tc>
          <w:tcPr>
            <w:tcW w:type="dxa" w:w="1701"/>
            <w:shd w:val="clear" w:color="auto" w:fill="EDEDED"/>
          </w:tcPr>
          <w:p>
            <w:pPr>
              <w:spacing w:after="20" w:line="276" w:lineRule="auto"/>
              <w:jc w:val="center"/>
            </w:pPr>
            <w:r/>
            <w:r>
              <w:rPr>
                <w:b/>
                <w:sz w:val="19"/>
              </w:rPr>
              <w:t>项目</w:t>
            </w:r>
          </w:p>
        </w:tc>
        <w:tc>
          <w:tcPr>
            <w:tcW w:type="dxa" w:w="1134"/>
            <w:shd w:val="clear" w:color="auto" w:fill="EDEDED"/>
          </w:tcPr>
          <w:p>
            <w:pPr>
              <w:spacing w:after="20" w:line="276" w:lineRule="auto"/>
              <w:jc w:val="center"/>
            </w:pPr>
            <w:r/>
            <w:r>
              <w:rPr>
                <w:b/>
                <w:sz w:val="19"/>
              </w:rPr>
              <w:t>型号</w:t>
            </w:r>
          </w:p>
        </w:tc>
        <w:tc>
          <w:tcPr>
            <w:tcW w:type="dxa" w:w="907"/>
            <w:shd w:val="clear" w:color="auto" w:fill="EDEDED"/>
          </w:tcPr>
          <w:p>
            <w:pPr>
              <w:spacing w:after="20" w:line="276" w:lineRule="auto"/>
              <w:jc w:val="center"/>
            </w:pPr>
            <w:r/>
            <w:r>
              <w:rPr>
                <w:b/>
                <w:sz w:val="19"/>
              </w:rPr>
              <w:t>数量</w:t>
            </w:r>
          </w:p>
        </w:tc>
        <w:tc>
          <w:tcPr>
            <w:tcW w:type="dxa" w:w="680"/>
            <w:shd w:val="clear" w:color="auto" w:fill="EDEDED"/>
          </w:tcPr>
          <w:p>
            <w:pPr>
              <w:spacing w:after="20" w:line="276" w:lineRule="auto"/>
              <w:jc w:val="center"/>
            </w:pPr>
            <w:r/>
            <w:r>
              <w:rPr>
                <w:b/>
                <w:sz w:val="19"/>
              </w:rPr>
              <w:t>单位</w:t>
            </w:r>
          </w:p>
        </w:tc>
        <w:tc>
          <w:tcPr>
            <w:tcW w:type="dxa" w:w="2041"/>
            <w:shd w:val="clear" w:color="auto" w:fill="EDEDED"/>
          </w:tcPr>
          <w:p>
            <w:pPr>
              <w:spacing w:after="20" w:line="276" w:lineRule="auto"/>
              <w:jc w:val="center"/>
            </w:pPr>
            <w:r/>
            <w:r>
              <w:rPr>
                <w:b/>
                <w:sz w:val="19"/>
              </w:rPr>
              <w:t>加工费单价（元，含税）</w:t>
            </w:r>
          </w:p>
        </w:tc>
        <w:tc>
          <w:tcPr>
            <w:tcW w:type="dxa" w:w="1814"/>
            <w:shd w:val="clear" w:color="auto" w:fill="EDEDED"/>
          </w:tcPr>
          <w:p>
            <w:pPr>
              <w:spacing w:after="20" w:line="276" w:lineRule="auto"/>
              <w:jc w:val="center"/>
            </w:pPr>
            <w:r/>
            <w:r>
              <w:rPr>
                <w:b/>
                <w:sz w:val="19"/>
              </w:rPr>
              <w:t>金额（元，含税）</w:t>
            </w:r>
          </w:p>
        </w:tc>
      </w:tr>
      <w:tr>
        <w:tc>
          <w:tcPr>
            <w:tcW w:type="dxa" w:w="624"/>
          </w:tcPr>
          <w:p>
            <w:pPr>
              <w:spacing w:after="20" w:line="276" w:lineRule="auto"/>
            </w:pPr>
            <w:r/>
            <w:r>
              <w:rPr>
                <w:sz w:val="19"/>
              </w:rPr>
              <w:t>1</w:t>
            </w:r>
          </w:p>
        </w:tc>
        <w:tc>
          <w:tcPr>
            <w:tcW w:type="dxa" w:w="1701"/>
          </w:tcPr>
          <w:p>
            <w:pPr>
              <w:spacing w:after="20" w:line="276" w:lineRule="auto"/>
            </w:pPr>
            <w:r/>
            <w:r>
              <w:rPr>
                <w:sz w:val="19"/>
              </w:rPr>
              <w:t>壳体数控加工</w:t>
            </w:r>
          </w:p>
        </w:tc>
        <w:tc>
          <w:tcPr>
            <w:tcW w:type="dxa" w:w="1134"/>
          </w:tcPr>
          <w:p>
            <w:pPr>
              <w:spacing w:after="20" w:line="276" w:lineRule="auto"/>
            </w:pPr>
            <w:r/>
            <w:r>
              <w:rPr>
                <w:sz w:val="19"/>
              </w:rPr>
              <w:t>LG-H210</w:t>
            </w:r>
          </w:p>
        </w:tc>
        <w:tc>
          <w:tcPr>
            <w:tcW w:type="dxa" w:w="907"/>
          </w:tcPr>
          <w:p>
            <w:pPr>
              <w:spacing w:after="20" w:line="276" w:lineRule="auto"/>
            </w:pPr>
            <w:r/>
            <w:r>
              <w:rPr>
                <w:sz w:val="19"/>
              </w:rPr>
              <w:t>6,000</w:t>
            </w:r>
          </w:p>
        </w:tc>
        <w:tc>
          <w:tcPr>
            <w:tcW w:type="dxa" w:w="680"/>
          </w:tcPr>
          <w:p>
            <w:pPr>
              <w:spacing w:after="20" w:line="276" w:lineRule="auto"/>
            </w:pPr>
            <w:r/>
            <w:r>
              <w:rPr>
                <w:sz w:val="19"/>
              </w:rPr>
              <w:t>件</w:t>
            </w:r>
          </w:p>
        </w:tc>
        <w:tc>
          <w:tcPr>
            <w:tcW w:type="dxa" w:w="2041"/>
          </w:tcPr>
          <w:p>
            <w:pPr>
              <w:spacing w:after="20" w:line="276" w:lineRule="auto"/>
            </w:pPr>
            <w:r/>
            <w:r>
              <w:rPr>
                <w:sz w:val="19"/>
              </w:rPr>
              <w:t>48.00</w:t>
            </w:r>
          </w:p>
        </w:tc>
        <w:tc>
          <w:tcPr>
            <w:tcW w:type="dxa" w:w="1814"/>
          </w:tcPr>
          <w:p>
            <w:pPr>
              <w:spacing w:after="20" w:line="276" w:lineRule="auto"/>
            </w:pPr>
            <w:r/>
            <w:r>
              <w:rPr>
                <w:sz w:val="19"/>
              </w:rPr>
              <w:t>288,000.00</w:t>
            </w:r>
          </w:p>
        </w:tc>
      </w:tr>
      <w:tr>
        <w:tc>
          <w:tcPr>
            <w:tcW w:type="dxa" w:w="624"/>
          </w:tcPr>
          <w:p>
            <w:pPr>
              <w:spacing w:after="20" w:line="276" w:lineRule="auto"/>
            </w:pPr>
            <w:r/>
            <w:r>
              <w:rPr>
                <w:sz w:val="19"/>
              </w:rPr>
              <w:t>2</w:t>
            </w:r>
          </w:p>
        </w:tc>
        <w:tc>
          <w:tcPr>
            <w:tcW w:type="dxa" w:w="1701"/>
          </w:tcPr>
          <w:p>
            <w:pPr>
              <w:spacing w:after="20" w:line="276" w:lineRule="auto"/>
            </w:pPr>
            <w:r/>
            <w:r>
              <w:rPr>
                <w:sz w:val="19"/>
              </w:rPr>
              <w:t>端盖数控加工</w:t>
            </w:r>
          </w:p>
        </w:tc>
        <w:tc>
          <w:tcPr>
            <w:tcW w:type="dxa" w:w="1134"/>
          </w:tcPr>
          <w:p>
            <w:pPr>
              <w:spacing w:after="20" w:line="276" w:lineRule="auto"/>
            </w:pPr>
            <w:r/>
            <w:r>
              <w:rPr>
                <w:sz w:val="19"/>
              </w:rPr>
              <w:t>LG-E115</w:t>
            </w:r>
          </w:p>
        </w:tc>
        <w:tc>
          <w:tcPr>
            <w:tcW w:type="dxa" w:w="907"/>
          </w:tcPr>
          <w:p>
            <w:pPr>
              <w:spacing w:after="20" w:line="276" w:lineRule="auto"/>
            </w:pPr>
            <w:r/>
            <w:r>
              <w:rPr>
                <w:sz w:val="19"/>
              </w:rPr>
              <w:t>4,000</w:t>
            </w:r>
          </w:p>
        </w:tc>
        <w:tc>
          <w:tcPr>
            <w:tcW w:type="dxa" w:w="680"/>
          </w:tcPr>
          <w:p>
            <w:pPr>
              <w:spacing w:after="20" w:line="276" w:lineRule="auto"/>
            </w:pPr>
            <w:r/>
            <w:r>
              <w:rPr>
                <w:sz w:val="19"/>
              </w:rPr>
              <w:t>件</w:t>
            </w:r>
          </w:p>
        </w:tc>
        <w:tc>
          <w:tcPr>
            <w:tcW w:type="dxa" w:w="2041"/>
          </w:tcPr>
          <w:p>
            <w:pPr>
              <w:spacing w:after="20" w:line="276" w:lineRule="auto"/>
            </w:pPr>
            <w:r/>
            <w:r>
              <w:rPr>
                <w:sz w:val="19"/>
              </w:rPr>
              <w:t>22.00</w:t>
            </w:r>
          </w:p>
        </w:tc>
        <w:tc>
          <w:tcPr>
            <w:tcW w:type="dxa" w:w="1814"/>
          </w:tcPr>
          <w:p>
            <w:pPr>
              <w:spacing w:after="20" w:line="276" w:lineRule="auto"/>
            </w:pPr>
            <w:r/>
            <w:r>
              <w:rPr>
                <w:sz w:val="19"/>
              </w:rPr>
              <w:t>88,000.00</w:t>
            </w:r>
          </w:p>
        </w:tc>
      </w:tr>
      <w:tr>
        <w:tc>
          <w:tcPr>
            <w:tcW w:type="dxa" w:w="624"/>
          </w:tcPr>
          <w:p>
            <w:pPr>
              <w:spacing w:after="20" w:line="276" w:lineRule="auto"/>
            </w:pPr>
            <w:r/>
            <w:r>
              <w:rPr>
                <w:sz w:val="19"/>
              </w:rPr>
              <w:t>3</w:t>
            </w:r>
          </w:p>
        </w:tc>
        <w:tc>
          <w:tcPr>
            <w:tcW w:type="dxa" w:w="1701"/>
          </w:tcPr>
          <w:p>
            <w:pPr>
              <w:spacing w:after="20" w:line="276" w:lineRule="auto"/>
            </w:pPr>
            <w:r/>
            <w:r>
              <w:rPr>
                <w:sz w:val="19"/>
              </w:rPr>
              <w:t>支架数控加工</w:t>
            </w:r>
          </w:p>
        </w:tc>
        <w:tc>
          <w:tcPr>
            <w:tcW w:type="dxa" w:w="1134"/>
          </w:tcPr>
          <w:p>
            <w:pPr>
              <w:spacing w:after="20" w:line="276" w:lineRule="auto"/>
            </w:pPr>
            <w:r/>
            <w:r>
              <w:rPr>
                <w:sz w:val="19"/>
              </w:rPr>
              <w:t>LG-B330</w:t>
            </w:r>
          </w:p>
        </w:tc>
        <w:tc>
          <w:tcPr>
            <w:tcW w:type="dxa" w:w="907"/>
          </w:tcPr>
          <w:p>
            <w:pPr>
              <w:spacing w:after="20" w:line="276" w:lineRule="auto"/>
            </w:pPr>
            <w:r/>
            <w:r>
              <w:rPr>
                <w:sz w:val="19"/>
              </w:rPr>
              <w:t>2,500</w:t>
            </w:r>
          </w:p>
        </w:tc>
        <w:tc>
          <w:tcPr>
            <w:tcW w:type="dxa" w:w="680"/>
          </w:tcPr>
          <w:p>
            <w:pPr>
              <w:spacing w:after="20" w:line="276" w:lineRule="auto"/>
            </w:pPr>
            <w:r/>
            <w:r>
              <w:rPr>
                <w:sz w:val="19"/>
              </w:rPr>
              <w:t>件</w:t>
            </w:r>
          </w:p>
        </w:tc>
        <w:tc>
          <w:tcPr>
            <w:tcW w:type="dxa" w:w="2041"/>
          </w:tcPr>
          <w:p>
            <w:pPr>
              <w:spacing w:after="20" w:line="276" w:lineRule="auto"/>
            </w:pPr>
            <w:r/>
            <w:r>
              <w:rPr>
                <w:sz w:val="19"/>
              </w:rPr>
              <w:t>35.00</w:t>
            </w:r>
          </w:p>
        </w:tc>
        <w:tc>
          <w:tcPr>
            <w:tcW w:type="dxa" w:w="1814"/>
          </w:tcPr>
          <w:p>
            <w:pPr>
              <w:spacing w:after="20" w:line="276" w:lineRule="auto"/>
            </w:pPr>
            <w:r/>
            <w:r>
              <w:rPr>
                <w:sz w:val="19"/>
              </w:rPr>
              <w:t>87,500.00</w:t>
            </w:r>
          </w:p>
        </w:tc>
      </w:tr>
      <w:tr>
        <w:tc>
          <w:tcPr>
            <w:tcW w:type="dxa" w:w="624"/>
          </w:tcPr>
          <w:p>
            <w:pPr>
              <w:spacing w:after="20" w:line="276" w:lineRule="auto"/>
            </w:pPr>
            <w:r/>
            <w:r>
              <w:rPr>
                <w:sz w:val="19"/>
              </w:rPr>
              <w:t>4</w:t>
            </w:r>
          </w:p>
        </w:tc>
        <w:tc>
          <w:tcPr>
            <w:tcW w:type="dxa" w:w="1701"/>
          </w:tcPr>
          <w:p>
            <w:pPr>
              <w:spacing w:after="20" w:line="276" w:lineRule="auto"/>
            </w:pPr>
            <w:r/>
            <w:r>
              <w:rPr>
                <w:sz w:val="19"/>
              </w:rPr>
              <w:t>加工工艺方案设计</w:t>
            </w:r>
          </w:p>
        </w:tc>
        <w:tc>
          <w:tcPr>
            <w:tcW w:type="dxa" w:w="1134"/>
          </w:tcPr>
          <w:p>
            <w:pPr>
              <w:spacing w:after="20" w:line="276" w:lineRule="auto"/>
            </w:pPr>
            <w:r/>
            <w:r>
              <w:rPr>
                <w:sz w:val="19"/>
              </w:rPr>
              <w:t>—</w:t>
            </w:r>
          </w:p>
        </w:tc>
        <w:tc>
          <w:tcPr>
            <w:tcW w:type="dxa" w:w="907"/>
          </w:tcPr>
          <w:p>
            <w:pPr>
              <w:spacing w:after="20" w:line="276" w:lineRule="auto"/>
            </w:pPr>
            <w:r/>
            <w:r>
              <w:rPr>
                <w:sz w:val="19"/>
              </w:rPr>
              <w:t>1</w:t>
            </w:r>
          </w:p>
        </w:tc>
        <w:tc>
          <w:tcPr>
            <w:tcW w:type="dxa" w:w="680"/>
          </w:tcPr>
          <w:p>
            <w:pPr>
              <w:spacing w:after="20" w:line="276" w:lineRule="auto"/>
            </w:pPr>
            <w:r/>
            <w:r>
              <w:rPr>
                <w:sz w:val="19"/>
              </w:rPr>
              <w:t>项</w:t>
            </w:r>
          </w:p>
        </w:tc>
        <w:tc>
          <w:tcPr>
            <w:tcW w:type="dxa" w:w="2041"/>
          </w:tcPr>
          <w:p>
            <w:pPr>
              <w:spacing w:after="20" w:line="276" w:lineRule="auto"/>
            </w:pPr>
            <w:r/>
            <w:r>
              <w:rPr>
                <w:sz w:val="19"/>
              </w:rPr>
              <w:t>96,500.00</w:t>
            </w:r>
          </w:p>
        </w:tc>
        <w:tc>
          <w:tcPr>
            <w:tcW w:type="dxa" w:w="1814"/>
          </w:tcPr>
          <w:p>
            <w:pPr>
              <w:spacing w:after="20" w:line="276" w:lineRule="auto"/>
            </w:pPr>
            <w:r/>
            <w:r>
              <w:rPr>
                <w:sz w:val="19"/>
              </w:rPr>
              <w:t>96,500.00</w:t>
            </w:r>
          </w:p>
        </w:tc>
      </w:tr>
      <w:tr>
        <w:tc>
          <w:tcPr>
            <w:tcW w:type="dxa" w:w="624"/>
          </w:tcPr>
          <w:p>
            <w:pPr>
              <w:spacing w:after="20" w:line="276" w:lineRule="auto"/>
            </w:pPr>
            <w:r/>
            <w:r>
              <w:rPr>
                <w:sz w:val="19"/>
              </w:rPr>
            </w:r>
          </w:p>
        </w:tc>
        <w:tc>
          <w:tcPr>
            <w:tcW w:type="dxa" w:w="1701"/>
          </w:tcPr>
          <w:p>
            <w:pPr>
              <w:spacing w:after="20" w:line="276" w:lineRule="auto"/>
            </w:pPr>
            <w:r/>
            <w:r>
              <w:rPr>
                <w:sz w:val="19"/>
              </w:rPr>
              <w:t>合计</w:t>
            </w:r>
          </w:p>
        </w:tc>
        <w:tc>
          <w:tcPr>
            <w:tcW w:type="dxa" w:w="1134"/>
          </w:tcPr>
          <w:p>
            <w:pPr>
              <w:spacing w:after="20" w:line="276" w:lineRule="auto"/>
            </w:pPr>
            <w:r/>
            <w:r>
              <w:rPr>
                <w:sz w:val="19"/>
              </w:rPr>
            </w:r>
          </w:p>
        </w:tc>
        <w:tc>
          <w:tcPr>
            <w:tcW w:type="dxa" w:w="907"/>
          </w:tcPr>
          <w:p>
            <w:pPr>
              <w:spacing w:after="20" w:line="276" w:lineRule="auto"/>
            </w:pPr>
            <w:r/>
            <w:r>
              <w:rPr>
                <w:sz w:val="19"/>
              </w:rPr>
            </w:r>
          </w:p>
        </w:tc>
        <w:tc>
          <w:tcPr>
            <w:tcW w:type="dxa" w:w="680"/>
          </w:tcPr>
          <w:p>
            <w:pPr>
              <w:spacing w:after="20" w:line="276" w:lineRule="auto"/>
            </w:pPr>
            <w:r/>
            <w:r>
              <w:rPr>
                <w:sz w:val="19"/>
              </w:rPr>
            </w:r>
          </w:p>
        </w:tc>
        <w:tc>
          <w:tcPr>
            <w:tcW w:type="dxa" w:w="2041"/>
          </w:tcPr>
          <w:p>
            <w:pPr>
              <w:spacing w:after="20" w:line="276" w:lineRule="auto"/>
            </w:pPr>
            <w:r/>
            <w:r>
              <w:rPr>
                <w:sz w:val="19"/>
              </w:rPr>
            </w:r>
          </w:p>
        </w:tc>
        <w:tc>
          <w:tcPr>
            <w:tcW w:type="dxa" w:w="1814"/>
          </w:tcPr>
          <w:p>
            <w:pPr>
              <w:spacing w:after="20" w:line="276" w:lineRule="auto"/>
            </w:pPr>
            <w:r/>
            <w:r>
              <w:rPr>
                <w:sz w:val="19"/>
              </w:rPr>
              <w:t>560,000.00</w:t>
            </w:r>
          </w:p>
        </w:tc>
      </w:tr>
    </w:tbl>
    <w:p>
      <w:pPr>
        <w:spacing w:after="40"/>
      </w:pPr>
    </w:p>
    <w:p>
      <w:r>
        <w:t>1.2 加工技术要求、尺寸公差及检验标准以附件一《加工技术要求与图纸清单》为准；未注公差按 GB/T 1804-m 执行，铝合金牌号按 GB/T 3190 执行（6061-T6）。</w:t>
      </w:r>
    </w:p>
    <w:p>
      <w:pPr>
        <w:pStyle w:val="Heading2"/>
      </w:pPr>
      <w:r>
        <w:t>第二条 合同价款、币种与发票</w:t>
      </w:r>
    </w:p>
    <w:p>
      <w:r>
        <w:t>2.1 合同总价为人民币 560,000.00 元（币种：人民币，大写：伍拾陆万元整），为含税价，适用增值税税率 13%，其中不含税金额 495,575.22 元，税额 64,424.78 元。</w:t>
      </w:r>
    </w:p>
    <w:p>
      <w:r>
        <w:t>2.2 乙方向甲方开具增值税专用发票，并应于每批成品验收合格后 7 日内开具并送达甲方；工艺方案设计费发票于方案验收合格后 7 日内开具。</w:t>
      </w:r>
    </w:p>
    <w:p>
      <w:r>
        <w:t>2.3 加工费单价包含乙方的人工、设备、辅料、检验、包装及运输至交付地点的费用，不含甲方提供的来料。</w:t>
      </w:r>
    </w:p>
    <w:p>
      <w:pPr>
        <w:pStyle w:val="Heading2"/>
      </w:pPr>
      <w:r>
        <w:t>第三条 付款方式</w:t>
      </w:r>
    </w:p>
    <w:p>
      <w:r>
        <w:t>3.1 合同签订后 5 日内，甲方向乙方支付合同总价的 30% 作为预付款，即人民币 168,000.00 元；预付款按各项目金额的 30% 在结算时抵扣。</w:t>
      </w:r>
    </w:p>
    <w:p>
      <w:commentRangeStart w:id="4"/>
      <w:r>
        <w:t>3.2 工艺方案验收合格后 15 日内，甲方支付工艺方案设计费扣除预付款抵扣部分后的余额；每批次成品验收合格并收到合法发票后 30 日内，甲方支付该批次加工费扣除预付款抵扣部分后的余额。</w:t>
      </w:r>
      <w:commentRangeEnd w:id="4"/>
      <w:r>
        <w:rPr>
          <w:rStyle w:val="CommentReference"/>
        </w:rPr>
        <w:commentReference w:id="4"/>
      </w:r>
    </w:p>
    <w:p>
      <w:r>
        <w:t>3.3 甲方通过银行转账方式付款，乙方收款账户为：户名拓衡精密加工有限公司，开户行及账号以乙方书面提供并加盖公章的收款账户确认函为准。</w:t>
      </w:r>
    </w:p>
    <w:p>
      <w:pPr>
        <w:pStyle w:val="Heading2"/>
      </w:pPr>
      <w:r>
        <w:t>第四条 来料交接与损耗</w:t>
      </w:r>
    </w:p>
    <w:p>
      <w:r>
        <w:t>4.1 甲方应按附件一约定的数量、牌号向乙方交付毛坯件，来料送至广东省东莞市长安镇振安路 35 号乙方厂区，乙方在送货单上签收，并在签收后 3 日内核对数量和外观，发现缺陷的应书面通知甲方。</w:t>
      </w:r>
    </w:p>
    <w:p>
      <w:r>
        <w:t>4.2 来料在乙方保管期间的风险由乙方承担，但因来料自身缺陷造成的损失除外。</w:t>
      </w:r>
    </w:p>
    <w:p>
      <w:r>
        <w:t>4.3 加工合理损耗率为来料数量的 1.5%；损耗在合理范围内的不影响结算，超出部分由乙方按来料成本价赔偿，不足部分的边角料归甲方所有。</w:t>
      </w:r>
    </w:p>
    <w:p>
      <w:pPr>
        <w:pStyle w:val="Heading2"/>
      </w:pPr>
      <w:r>
        <w:t>第五条 工装与模具</w:t>
      </w:r>
    </w:p>
    <w:p>
      <w:r>
        <w:t>5.1 乙方为本项目制作专用冲压模具 2 套、焊接工装 3 套及检具 1 套，用于本合同项下产品的加工。</w:t>
      </w:r>
    </w:p>
    <w:p>
      <w:r>
        <w:t>5.2 乙方应对上述工装、模具进行日常维护，保证加工精度。</w:t>
      </w:r>
    </w:p>
    <w:p>
      <w:pPr>
        <w:pStyle w:val="Heading2"/>
      </w:pPr>
      <w:r>
        <w:t>第六条 工艺方案及其成果</w:t>
      </w:r>
    </w:p>
    <w:p>
      <w:r>
        <w:t>6.1 乙方应在合同签订后 45 日内向甲方交付《加工工艺方案》，内容包括工序安排、工艺参数、检验方法及质量控制要点。</w:t>
      </w:r>
    </w:p>
    <w:p>
      <w:r>
        <w:t>6.2 甲方应在收到工艺方案后 15 日内书面提出修改意见，乙方应在 7 日内修改完善。</w:t>
      </w:r>
    </w:p>
    <w:p>
      <w:commentRangeStart w:id="0"/>
      <w:r>
        <w:t>6.3 乙方为履行本合同形成的工艺方案、技术文件、检验规范等工作成果（以下称“工作成果”）归甲方所有。上述工作成果的知识产权归甲方所有，包括乙方在履行本合同过程中使用的原有工艺与技术诀窍。</w:t>
      </w:r>
      <w:commentRangeEnd w:id="0"/>
      <w:r>
        <w:rPr>
          <w:rStyle w:val="CommentReference"/>
        </w:rPr>
        <w:commentReference w:id="0"/>
      </w:r>
    </w:p>
    <w:p>
      <w:r>
        <w:t>6.4 乙方保证工作成果不侵犯第三方的知识产权。</w:t>
      </w:r>
    </w:p>
    <w:p>
      <w:pPr>
        <w:pStyle w:val="Heading2"/>
      </w:pPr>
      <w:r>
        <w:t>第七条 交付</w:t>
      </w:r>
    </w:p>
    <w:p>
      <w:r>
        <w:t>7.1 交付地点：江苏省苏州市吴江区开发大道 120 号甲方仓库，乙方负责运输，运费已含在加工费中。</w:t>
      </w:r>
    </w:p>
    <w:p>
      <w:r>
        <w:t>7.2 交付时间：第一批 2026 年 12 月 20 日前交付壳体 3,000 件、端盖 2,000 件；其余分批于 2027 年 3 月 31 日前交付完毕，具体批次由双方通过电子邮件确认。</w:t>
      </w:r>
    </w:p>
    <w:p>
      <w:r>
        <w:t>7.3 甲方仓库人员核对数量和外包装后在乙方送货单上签收，送货单为交付凭证。成品毁损、灭失的风险自甲方签收之时起转移至甲方。</w:t>
      </w:r>
    </w:p>
    <w:p>
      <w:pPr>
        <w:pStyle w:val="Heading2"/>
      </w:pPr>
      <w:r>
        <w:t>第八条 验收</w:t>
      </w:r>
    </w:p>
    <w:p>
      <w:r>
        <w:t>8.1 验收标准：以附件一《加工技术要求与图纸清单》及第一条约定的技术标准为准；工艺方案以附件二的交付清单为准。</w:t>
      </w:r>
    </w:p>
    <w:p>
      <w:r>
        <w:t>8.2 验收方法：成品按 GB/T 2828.1 一般检验水平 II、AQL 1.0 抽样检验，尺寸使用三坐标测量机或相应量具检测；工艺方案由甲方技术部门审核。</w:t>
      </w:r>
    </w:p>
    <w:p>
      <w:r>
        <w:t>8.3 甲方收货后 15 日内未提异议的，视为验收合格；工艺方案自甲方收到后 15 日内未提出书面意见的，视为验收合格。</w:t>
      </w:r>
    </w:p>
    <w:p>
      <w:r>
        <w:t>8.4 甲方提出异议的形式包括书面函件和发送至乙方指定电子邮箱的电子邮件。</w:t>
      </w:r>
    </w:p>
    <w:p>
      <w:pPr>
        <w:pStyle w:val="Heading2"/>
      </w:pPr>
      <w:r>
        <w:t>第九条 质量保证</w:t>
      </w:r>
    </w:p>
    <w:p>
      <w:r>
        <w:t>9.1 成品质保期为 12 个月，自验收合格之日起算。</w:t>
      </w:r>
    </w:p>
    <w:p>
      <w:r>
        <w:t>9.2 质保期内因乙方加工缺陷导致的不合格，乙方负责免费返工或重新加工；因甲方来料缺陷、人为损坏、不当使用、正常磨损或甲方擅自修改造成的问题，不在质保范围内。</w:t>
      </w:r>
    </w:p>
    <w:p>
      <w:pPr>
        <w:pStyle w:val="Heading2"/>
      </w:pPr>
      <w:r>
        <w:t>第十条 违约责任</w:t>
      </w:r>
    </w:p>
    <w:p>
      <w:r>
        <w:t>10.1 甲方逾期付款的，每逾期一日，按逾期未付金额的万分之五向乙方支付违约金；乙方逾期交付的，每逾期一日，按逾期交付部分加工费的万分之五向甲方支付违约金。</w:t>
      </w:r>
    </w:p>
    <w:p>
      <w:r>
        <w:t>10.2 任何一方违约金累计不超过合同总价的 10%。</w:t>
      </w:r>
    </w:p>
    <w:p>
      <w:r>
        <w:t>10.3 任何一方依本合同承担的赔偿责任（不含违约金）累计不超过合同总价的 10%，且不包括间接损失和可得利益损失。</w:t>
      </w:r>
    </w:p>
    <w:p>
      <w:pPr>
        <w:pStyle w:val="Heading2"/>
      </w:pPr>
      <w:r>
        <w:t>第十一条 保密</w:t>
      </w:r>
    </w:p>
    <w:p>
      <w:commentRangeStart w:id="5"/>
      <w:r>
        <w:t>11.1 双方对在本合同订立和履行过程中知悉的对方技术资料、价格、客户信息及其他商业秘密负有保密义务，未经对方书面同意，不得向任何第三方披露，也不得用于本合同以外的目的。</w:t>
      </w:r>
      <w:commentRangeEnd w:id="5"/>
      <w:r>
        <w:rPr>
          <w:rStyle w:val="CommentReference"/>
        </w:rPr>
        <w:commentReference w:id="5"/>
      </w:r>
    </w:p>
    <w:p>
      <w:r>
        <w:t>11.2 下列信息不属于保密信息：（1）披露时已为公众所知或非因接收方过错而成为公开的信息；（2）接收方在披露前已合法掌握的信息；（3）接收方独立开发且未使用对方保密信息的信息；（4）从有权披露的第三方合法取得的信息；（5）依法律法规、司法机关或监管机构要求必须披露的信息。</w:t>
      </w:r>
    </w:p>
    <w:p>
      <w:r>
        <w:t>11.3 接收方仅可向因履行本合同确需知悉的员工、专业顾问披露保密信息，并应确保其承担不低于本条的保密义务。</w:t>
      </w:r>
    </w:p>
    <w:p>
      <w:pPr>
        <w:pStyle w:val="Heading2"/>
      </w:pPr>
      <w:r>
        <w:t>第十二条 合同解除</w:t>
      </w:r>
    </w:p>
    <w:p>
      <w:commentRangeStart w:id="1"/>
      <w:commentRangeStart w:id="2"/>
      <w:r>
        <w:t>12.1 甲方可提前 10 日书面通知乙方解除本合同，解除后乙方应立即停止加工并将已完成部分交付甲方。</w:t>
      </w:r>
      <w:commentRangeEnd w:id="1"/>
      <w:r>
        <w:rPr>
          <w:rStyle w:val="CommentReference"/>
        </w:rPr>
        <w:commentReference w:id="1"/>
      </w:r>
      <w:commentRangeEnd w:id="2"/>
      <w:r>
        <w:rPr>
          <w:rStyle w:val="CommentReference"/>
        </w:rPr>
        <w:commentReference w:id="2"/>
      </w:r>
    </w:p>
    <w:p>
      <w:r>
        <w:t>12.2 乙方逾期交付超过 30 日的，甲方有权书面通知乙方解除本合同。</w:t>
      </w:r>
    </w:p>
    <w:p>
      <w:r>
        <w:t>12.3 不可抗力持续超过 60 日的，按不可抗力条款处理。</w:t>
      </w:r>
    </w:p>
    <w:p>
      <w:pPr>
        <w:pStyle w:val="Heading2"/>
      </w:pPr>
      <w:r>
        <w:t>第十三条 不可抗力</w:t>
      </w:r>
    </w:p>
    <w:p>
      <w:r>
        <w:t>13.1 不可抗力是指不能预见、不能避免且不能克服的客观情况，包括地震、台风、洪水等自然灾害，战争、政府行为、新的法律法规或政策调整，疫情防控措施，以及因政府统一调度导致的限电、限产。</w:t>
      </w:r>
    </w:p>
    <w:p>
      <w:r>
        <w:t>13.2 遭遇不可抗力的一方应在事件发生后 5 日内书面通知对方，并在事件发生后 15 日内提供有关部门出具的证明或其他合理证明材料，同时采取措施减轻损失。</w:t>
      </w:r>
    </w:p>
    <w:p>
      <w:r>
        <w:t>13.3 因不可抗力不能履行或不能完全履行合同的，可根据影响程度部分或全部免除责任，但迟延履行后发生不可抗力的除外。</w:t>
      </w:r>
    </w:p>
    <w:p>
      <w:r>
        <w:t>13.4 不可抗力持续超过 60 日的，任何一方均有权书面通知对方解除本合同，双方互不承担违约责任，并就已履行部分进行结算。</w:t>
      </w:r>
    </w:p>
    <w:p>
      <w:pPr>
        <w:pStyle w:val="Heading2"/>
      </w:pPr>
      <w:r>
        <w:t>第十四条 担保</w:t>
      </w:r>
    </w:p>
    <w:p>
      <w:commentRangeStart w:id="3"/>
      <w:r>
        <w:t>14.1 乙方法定代表人陈立业自愿对乙方在本合同项下的全部义务承担个人连带保证责任。</w:t>
      </w:r>
      <w:commentRangeEnd w:id="3"/>
      <w:r>
        <w:rPr>
          <w:rStyle w:val="CommentReference"/>
        </w:rPr>
        <w:commentReference w:id="3"/>
      </w:r>
    </w:p>
    <w:p>
      <w:r>
        <w:t>14.2 保证期间为主债务履行期限届满之日起三年。</w:t>
      </w:r>
    </w:p>
    <w:p>
      <w:pPr>
        <w:pStyle w:val="Heading2"/>
      </w:pPr>
      <w:r>
        <w:t>第十五条 通知与送达</w:t>
      </w:r>
    </w:p>
    <w:p>
      <w:r>
        <w:t>15.1 双方确认的送达地址、联系人及电子邮箱如下：甲方：江苏省苏州市吴江区开发大道 120 号，联系人秦思远，电子邮箱qinsy@langu-demo.example；乙方：广东省东莞市长安镇振安路 35 号，联系人罗嘉宁，电子邮箱luojn@tuoheng-demo.example。</w:t>
      </w:r>
    </w:p>
    <w:p>
      <w:r>
        <w:t>15.2 任何一方变更送达地址、联系人或电子邮箱的，应提前 5 日书面通知对方；未及时通知的，按原地址送达，由变更方承担由此产生的后果。</w:t>
      </w:r>
    </w:p>
    <w:p>
      <w:r>
        <w:t>15.3 与本合同履行有关的通知、函件以书面形式作出。书面通知经专人送达或快递寄出后第 3 日视为送达；以电子邮件发送至上述电子邮箱的，邮件发出之日视为送达。</w:t>
      </w:r>
    </w:p>
    <w:p>
      <w:r>
        <w:t>15.4 微信、短信等即时通讯方式仅用于日常沟通，不作为变更合同、解除合同或提出异议的有效形式，但双方另以书面确认的除外。</w:t>
      </w:r>
    </w:p>
    <w:p>
      <w:pPr>
        <w:pStyle w:val="Heading2"/>
      </w:pPr>
      <w:r>
        <w:t>第十六条 争议解决</w:t>
      </w:r>
    </w:p>
    <w:p>
      <w:r>
        <w:t>16.1 因本合同引起的争议，双方应友好协商；协商不成的，提交乙方所在地广东省东莞市第二人民法院诉讼解决。</w:t>
      </w:r>
    </w:p>
    <w:p>
      <w:pPr>
        <w:pStyle w:val="Heading2"/>
      </w:pPr>
      <w:r>
        <w:t>第十七条 合同期限</w:t>
      </w:r>
    </w:p>
    <w:p>
      <w:r>
        <w:t>17.1 本合同有效期自 2026 年 11 月 1 日起至 2027 年 10 月 31 日止；质保及争议解决条款在合同期限届满后继续有效。</w:t>
      </w:r>
    </w:p>
    <w:p>
      <w:r>
        <w:t>17.2 合同期满后如需续约，须双方另行书面同意，不因继续履行而自动续期。</w:t>
      </w:r>
    </w:p>
    <w:p>
      <w:pPr>
        <w:pStyle w:val="Heading2"/>
      </w:pPr>
      <w:r>
        <w:t>第十八条 文件优先顺序与其他</w:t>
      </w:r>
    </w:p>
    <w:p>
      <w:r>
        <w:t>18.1 本合同由正文及附件一《加工技术要求与图纸清单》、附件二《工艺方案交付清单》组成。各部分不一致的，按正文、附件一、附件二的顺序确定优先适用。</w:t>
      </w:r>
    </w:p>
    <w:p>
      <w:r>
        <w:t>18.2 本合同的变更和补充须经双方书面确认。本合同一式二份，双方各执一份，具有同等法律效力。</w:t>
      </w:r>
    </w:p>
    <w:p>
      <w:pPr>
        <w:pStyle w:val="Heading2"/>
      </w:pPr>
      <w:r>
        <w:t>第十九条 合同生效</w:t>
      </w:r>
    </w:p>
    <w:p>
      <w:r>
        <w:t>19.1 本合同自双方法定代表人签字并加盖公章之日起生效。</w:t>
      </w:r>
    </w:p>
    <w:p>
      <w:pPr>
        <w:spacing w:before="280"/>
        <w:jc w:val="center"/>
      </w:pPr>
      <w:r>
        <w:t>（以下无正文）</w:t>
      </w:r>
    </w:p>
    <w:p>
      <w:pPr>
        <w:spacing w:before="160"/>
      </w:pPr>
      <w:r>
        <w:t>甲方（盖章）：岚谷智能电器有限公司</w:t>
      </w:r>
    </w:p>
    <w:p>
      <w:r>
        <w:t>盖章：[公章]</w:t>
      </w:r>
    </w:p>
    <w:p>
      <w:r>
        <w:t>签字：冯叙白（法定代表人）</w:t>
      </w:r>
    </w:p>
    <w:p>
      <w:r>
        <w:t>日期：2026年10月28日</w:t>
      </w:r>
    </w:p>
    <w:p>
      <w:pPr>
        <w:spacing w:before="160"/>
      </w:pPr>
      <w:r>
        <w:t>乙方（盖章）：拓衡精密加工有限公司</w:t>
      </w:r>
    </w:p>
    <w:p>
      <w:r>
        <w:t>盖章：[公章]</w:t>
      </w:r>
    </w:p>
    <w:p>
      <w:r>
        <w:t>签字：陈立业（法定代表人）</w:t>
      </w:r>
    </w:p>
    <w:p>
      <w:r>
        <w:t>保证人签字：陈立业（乙方法定代表人，个人）</w:t>
      </w:r>
    </w:p>
    <w:p>
      <w:r>
        <w:t>日期：2026年10月28日</w:t>
      </w:r>
    </w:p>
    <w:p>
      <w:pPr>
        <w:pStyle w:val="Heading1"/>
      </w:pPr>
      <w:r>
        <w:t>附件一 加工技术要求与图纸清单</w:t>
      </w:r>
    </w:p>
    <w:tbl>
      <w:tblPr>
        <w:tblStyle w:val="TableGrid"/>
        <w:tblW w:type="auto" w:w="0"/>
        <w:jc w:val="center"/>
        <w:tblLook w:firstColumn="1" w:firstRow="1" w:lastColumn="0" w:lastRow="0" w:noHBand="0" w:noVBand="1" w:val="04A0"/>
      </w:tblPr>
      <w:tblGrid>
        <w:gridCol w:w="1493"/>
        <w:gridCol w:w="1493"/>
        <w:gridCol w:w="1493"/>
        <w:gridCol w:w="1493"/>
        <w:gridCol w:w="1493"/>
        <w:gridCol w:w="1493"/>
      </w:tblGrid>
      <w:tr>
        <w:tc>
          <w:tcPr>
            <w:tcW w:type="dxa" w:w="964"/>
            <w:shd w:val="clear" w:color="auto" w:fill="EDEDED"/>
          </w:tcPr>
          <w:p>
            <w:pPr>
              <w:spacing w:after="20" w:line="276" w:lineRule="auto"/>
              <w:jc w:val="center"/>
            </w:pPr>
            <w:r/>
            <w:r>
              <w:rPr>
                <w:b/>
                <w:sz w:val="19"/>
              </w:rPr>
              <w:t>型号</w:t>
            </w:r>
          </w:p>
        </w:tc>
        <w:tc>
          <w:tcPr>
            <w:tcW w:type="dxa" w:w="794"/>
            <w:shd w:val="clear" w:color="auto" w:fill="EDEDED"/>
          </w:tcPr>
          <w:p>
            <w:pPr>
              <w:spacing w:after="20" w:line="276" w:lineRule="auto"/>
              <w:jc w:val="center"/>
            </w:pPr>
            <w:r/>
            <w:r>
              <w:rPr>
                <w:b/>
                <w:sz w:val="19"/>
              </w:rPr>
              <w:t>名称</w:t>
            </w:r>
          </w:p>
        </w:tc>
        <w:tc>
          <w:tcPr>
            <w:tcW w:type="dxa" w:w="2154"/>
            <w:shd w:val="clear" w:color="auto" w:fill="EDEDED"/>
          </w:tcPr>
          <w:p>
            <w:pPr>
              <w:spacing w:after="20" w:line="276" w:lineRule="auto"/>
              <w:jc w:val="center"/>
            </w:pPr>
            <w:r/>
            <w:r>
              <w:rPr>
                <w:b/>
                <w:sz w:val="19"/>
              </w:rPr>
              <w:t>来料牌号与规格</w:t>
            </w:r>
          </w:p>
        </w:tc>
        <w:tc>
          <w:tcPr>
            <w:tcW w:type="dxa" w:w="2494"/>
            <w:shd w:val="clear" w:color="auto" w:fill="EDEDED"/>
          </w:tcPr>
          <w:p>
            <w:pPr>
              <w:spacing w:after="20" w:line="276" w:lineRule="auto"/>
              <w:jc w:val="center"/>
            </w:pPr>
            <w:r/>
            <w:r>
              <w:rPr>
                <w:b/>
                <w:sz w:val="19"/>
              </w:rPr>
              <w:t>关键尺寸与公差</w:t>
            </w:r>
          </w:p>
        </w:tc>
        <w:tc>
          <w:tcPr>
            <w:tcW w:type="dxa" w:w="1701"/>
            <w:shd w:val="clear" w:color="auto" w:fill="EDEDED"/>
          </w:tcPr>
          <w:p>
            <w:pPr>
              <w:spacing w:after="20" w:line="276" w:lineRule="auto"/>
              <w:jc w:val="center"/>
            </w:pPr>
            <w:r/>
            <w:r>
              <w:rPr>
                <w:b/>
                <w:sz w:val="19"/>
              </w:rPr>
              <w:t>表面处理</w:t>
            </w:r>
          </w:p>
        </w:tc>
        <w:tc>
          <w:tcPr>
            <w:tcW w:type="dxa" w:w="1474"/>
            <w:shd w:val="clear" w:color="auto" w:fill="EDEDED"/>
          </w:tcPr>
          <w:p>
            <w:pPr>
              <w:spacing w:after="20" w:line="276" w:lineRule="auto"/>
              <w:jc w:val="center"/>
            </w:pPr>
            <w:r/>
            <w:r>
              <w:rPr>
                <w:b/>
                <w:sz w:val="19"/>
              </w:rPr>
              <w:t>图纸编号（版本）</w:t>
            </w:r>
          </w:p>
        </w:tc>
      </w:tr>
      <w:tr>
        <w:tc>
          <w:tcPr>
            <w:tcW w:type="dxa" w:w="964"/>
          </w:tcPr>
          <w:p>
            <w:pPr>
              <w:spacing w:after="20" w:line="276" w:lineRule="auto"/>
            </w:pPr>
            <w:r/>
            <w:r>
              <w:rPr>
                <w:sz w:val="19"/>
              </w:rPr>
              <w:t>LG-H210</w:t>
            </w:r>
          </w:p>
        </w:tc>
        <w:tc>
          <w:tcPr>
            <w:tcW w:type="dxa" w:w="794"/>
          </w:tcPr>
          <w:p>
            <w:pPr>
              <w:spacing w:after="20" w:line="276" w:lineRule="auto"/>
            </w:pPr>
            <w:r/>
            <w:r>
              <w:rPr>
                <w:sz w:val="19"/>
              </w:rPr>
              <w:t>壳体</w:t>
            </w:r>
          </w:p>
        </w:tc>
        <w:tc>
          <w:tcPr>
            <w:tcW w:type="dxa" w:w="2154"/>
          </w:tcPr>
          <w:p>
            <w:pPr>
              <w:spacing w:after="20" w:line="276" w:lineRule="auto"/>
            </w:pPr>
            <w:r/>
            <w:r>
              <w:rPr>
                <w:sz w:val="19"/>
              </w:rPr>
              <w:t>6061-T6，毛坯 210×140×45 mm</w:t>
            </w:r>
          </w:p>
        </w:tc>
        <w:tc>
          <w:tcPr>
            <w:tcW w:type="dxa" w:w="2494"/>
          </w:tcPr>
          <w:p>
            <w:pPr>
              <w:spacing w:after="20" w:line="276" w:lineRule="auto"/>
            </w:pPr>
            <w:r/>
            <w:r>
              <w:rPr>
                <w:sz w:val="19"/>
              </w:rPr>
              <w:t>安装孔位度 Φ0.05 mm；平面度 0.03 mm</w:t>
            </w:r>
          </w:p>
        </w:tc>
        <w:tc>
          <w:tcPr>
            <w:tcW w:type="dxa" w:w="1701"/>
          </w:tcPr>
          <w:p>
            <w:pPr>
              <w:spacing w:after="20" w:line="276" w:lineRule="auto"/>
            </w:pPr>
            <w:r/>
            <w:r>
              <w:rPr>
                <w:sz w:val="19"/>
              </w:rPr>
              <w:t>喷砂+阳极氧化，黑色</w:t>
            </w:r>
          </w:p>
        </w:tc>
        <w:tc>
          <w:tcPr>
            <w:tcW w:type="dxa" w:w="1474"/>
          </w:tcPr>
          <w:p>
            <w:pPr>
              <w:spacing w:after="20" w:line="276" w:lineRule="auto"/>
            </w:pPr>
            <w:r/>
            <w:r>
              <w:rPr>
                <w:sz w:val="19"/>
              </w:rPr>
              <w:t>LG-H210-01（B）</w:t>
            </w:r>
          </w:p>
        </w:tc>
      </w:tr>
      <w:tr>
        <w:tc>
          <w:tcPr>
            <w:tcW w:type="dxa" w:w="964"/>
          </w:tcPr>
          <w:p>
            <w:pPr>
              <w:spacing w:after="20" w:line="276" w:lineRule="auto"/>
            </w:pPr>
            <w:r/>
            <w:r>
              <w:rPr>
                <w:sz w:val="19"/>
              </w:rPr>
              <w:t>LG-E115</w:t>
            </w:r>
          </w:p>
        </w:tc>
        <w:tc>
          <w:tcPr>
            <w:tcW w:type="dxa" w:w="794"/>
          </w:tcPr>
          <w:p>
            <w:pPr>
              <w:spacing w:after="20" w:line="276" w:lineRule="auto"/>
            </w:pPr>
            <w:r/>
            <w:r>
              <w:rPr>
                <w:sz w:val="19"/>
              </w:rPr>
              <w:t>端盖</w:t>
            </w:r>
          </w:p>
        </w:tc>
        <w:tc>
          <w:tcPr>
            <w:tcW w:type="dxa" w:w="2154"/>
          </w:tcPr>
          <w:p>
            <w:pPr>
              <w:spacing w:after="20" w:line="276" w:lineRule="auto"/>
            </w:pPr>
            <w:r/>
            <w:r>
              <w:rPr>
                <w:sz w:val="19"/>
              </w:rPr>
              <w:t>6061-T6，毛坯 120×120×20 mm</w:t>
            </w:r>
          </w:p>
        </w:tc>
        <w:tc>
          <w:tcPr>
            <w:tcW w:type="dxa" w:w="2494"/>
          </w:tcPr>
          <w:p>
            <w:pPr>
              <w:spacing w:after="20" w:line="276" w:lineRule="auto"/>
            </w:pPr>
            <w:r/>
            <w:r>
              <w:rPr>
                <w:sz w:val="19"/>
              </w:rPr>
              <w:t>止口 Φ100H7；厚度 12±0.05 mm</w:t>
            </w:r>
          </w:p>
        </w:tc>
        <w:tc>
          <w:tcPr>
            <w:tcW w:type="dxa" w:w="1701"/>
          </w:tcPr>
          <w:p>
            <w:pPr>
              <w:spacing w:after="20" w:line="276" w:lineRule="auto"/>
            </w:pPr>
            <w:r/>
            <w:r>
              <w:rPr>
                <w:sz w:val="19"/>
              </w:rPr>
              <w:t>阳极氧化，本色</w:t>
            </w:r>
          </w:p>
        </w:tc>
        <w:tc>
          <w:tcPr>
            <w:tcW w:type="dxa" w:w="1474"/>
          </w:tcPr>
          <w:p>
            <w:pPr>
              <w:spacing w:after="20" w:line="276" w:lineRule="auto"/>
            </w:pPr>
            <w:r/>
            <w:r>
              <w:rPr>
                <w:sz w:val="19"/>
              </w:rPr>
              <w:t>LG-E115-01（A）</w:t>
            </w:r>
          </w:p>
        </w:tc>
      </w:tr>
      <w:tr>
        <w:tc>
          <w:tcPr>
            <w:tcW w:type="dxa" w:w="964"/>
          </w:tcPr>
          <w:p>
            <w:pPr>
              <w:spacing w:after="20" w:line="276" w:lineRule="auto"/>
            </w:pPr>
            <w:r/>
            <w:r>
              <w:rPr>
                <w:sz w:val="19"/>
              </w:rPr>
              <w:t>LG-B330</w:t>
            </w:r>
          </w:p>
        </w:tc>
        <w:tc>
          <w:tcPr>
            <w:tcW w:type="dxa" w:w="794"/>
          </w:tcPr>
          <w:p>
            <w:pPr>
              <w:spacing w:after="20" w:line="276" w:lineRule="auto"/>
            </w:pPr>
            <w:r/>
            <w:r>
              <w:rPr>
                <w:sz w:val="19"/>
              </w:rPr>
              <w:t>支架</w:t>
            </w:r>
          </w:p>
        </w:tc>
        <w:tc>
          <w:tcPr>
            <w:tcW w:type="dxa" w:w="2154"/>
          </w:tcPr>
          <w:p>
            <w:pPr>
              <w:spacing w:after="20" w:line="276" w:lineRule="auto"/>
            </w:pPr>
            <w:r/>
            <w:r>
              <w:rPr>
                <w:sz w:val="19"/>
              </w:rPr>
              <w:t>6061-T6，毛坯 330×60×8 mm</w:t>
            </w:r>
          </w:p>
        </w:tc>
        <w:tc>
          <w:tcPr>
            <w:tcW w:type="dxa" w:w="2494"/>
          </w:tcPr>
          <w:p>
            <w:pPr>
              <w:spacing w:after="20" w:line="276" w:lineRule="auto"/>
            </w:pPr>
            <w:r/>
            <w:r>
              <w:rPr>
                <w:sz w:val="19"/>
              </w:rPr>
              <w:t>折弯角 90°±0.5°；孔距 ±0.05 mm</w:t>
            </w:r>
          </w:p>
        </w:tc>
        <w:tc>
          <w:tcPr>
            <w:tcW w:type="dxa" w:w="1701"/>
          </w:tcPr>
          <w:p>
            <w:pPr>
              <w:spacing w:after="20" w:line="276" w:lineRule="auto"/>
            </w:pPr>
            <w:r/>
            <w:r>
              <w:rPr>
                <w:sz w:val="19"/>
              </w:rPr>
              <w:t>去毛刺，本色阳极氧化</w:t>
            </w:r>
          </w:p>
        </w:tc>
        <w:tc>
          <w:tcPr>
            <w:tcW w:type="dxa" w:w="1474"/>
          </w:tcPr>
          <w:p>
            <w:pPr>
              <w:spacing w:after="20" w:line="276" w:lineRule="auto"/>
            </w:pPr>
            <w:r/>
            <w:r>
              <w:rPr>
                <w:sz w:val="19"/>
              </w:rPr>
              <w:t>LG-B330-01（A）</w:t>
            </w:r>
          </w:p>
        </w:tc>
      </w:tr>
    </w:tbl>
    <w:p>
      <w:pPr>
        <w:spacing w:after="40"/>
      </w:pPr>
    </w:p>
    <w:p>
      <w:commentRangeStart w:id="6"/>
      <w:r>
        <w:t>检验依据：GB/T 1804-m、GB/T 3190、GB/T 8013.1（阳极氧化膜厚度不小于 10 μm）、GB/T 2828.1。图纸由甲方提供，以双方确认的最新版本为准。</w:t>
      </w:r>
      <w:commentRangeEnd w:id="6"/>
      <w:r>
        <w:rPr>
          <w:rStyle w:val="CommentReference"/>
        </w:rPr>
        <w:commentReference w:id="6"/>
      </w:r>
    </w:p>
    <w:p>
      <w:pPr>
        <w:pStyle w:val="Heading1"/>
      </w:pPr>
      <w:r>
        <w:t>附件二 工艺方案交付清单</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680"/>
            <w:shd w:val="clear" w:color="auto" w:fill="EDEDED"/>
          </w:tcPr>
          <w:p>
            <w:pPr>
              <w:spacing w:after="20" w:line="276" w:lineRule="auto"/>
              <w:jc w:val="center"/>
            </w:pPr>
            <w:r/>
            <w:r>
              <w:rPr>
                <w:b/>
                <w:sz w:val="19"/>
              </w:rPr>
              <w:t>序号</w:t>
            </w:r>
          </w:p>
        </w:tc>
        <w:tc>
          <w:tcPr>
            <w:tcW w:type="dxa" w:w="1814"/>
            <w:shd w:val="clear" w:color="auto" w:fill="EDEDED"/>
          </w:tcPr>
          <w:p>
            <w:pPr>
              <w:spacing w:after="20" w:line="276" w:lineRule="auto"/>
              <w:jc w:val="center"/>
            </w:pPr>
            <w:r/>
            <w:r>
              <w:rPr>
                <w:b/>
                <w:sz w:val="19"/>
              </w:rPr>
              <w:t>交付物</w:t>
            </w:r>
          </w:p>
        </w:tc>
        <w:tc>
          <w:tcPr>
            <w:tcW w:type="dxa" w:w="4535"/>
            <w:shd w:val="clear" w:color="auto" w:fill="EDEDED"/>
          </w:tcPr>
          <w:p>
            <w:pPr>
              <w:spacing w:after="20" w:line="276" w:lineRule="auto"/>
              <w:jc w:val="center"/>
            </w:pPr>
            <w:r/>
            <w:r>
              <w:rPr>
                <w:b/>
                <w:sz w:val="19"/>
              </w:rPr>
              <w:t>内容要点</w:t>
            </w:r>
          </w:p>
        </w:tc>
        <w:tc>
          <w:tcPr>
            <w:tcW w:type="dxa" w:w="2154"/>
            <w:shd w:val="clear" w:color="auto" w:fill="EDEDED"/>
          </w:tcPr>
          <w:p>
            <w:pPr>
              <w:spacing w:after="20" w:line="276" w:lineRule="auto"/>
              <w:jc w:val="center"/>
            </w:pPr>
            <w:r/>
            <w:r>
              <w:rPr>
                <w:b/>
                <w:sz w:val="19"/>
              </w:rPr>
              <w:t>交付形式</w:t>
            </w:r>
          </w:p>
        </w:tc>
      </w:tr>
      <w:tr>
        <w:tc>
          <w:tcPr>
            <w:tcW w:type="dxa" w:w="680"/>
          </w:tcPr>
          <w:p>
            <w:pPr>
              <w:spacing w:after="20" w:line="276" w:lineRule="auto"/>
            </w:pPr>
            <w:r/>
            <w:r>
              <w:rPr>
                <w:sz w:val="19"/>
              </w:rPr>
              <w:t>1</w:t>
            </w:r>
          </w:p>
        </w:tc>
        <w:tc>
          <w:tcPr>
            <w:tcW w:type="dxa" w:w="1814"/>
          </w:tcPr>
          <w:p>
            <w:pPr>
              <w:spacing w:after="20" w:line="276" w:lineRule="auto"/>
            </w:pPr>
            <w:r/>
            <w:r>
              <w:rPr>
                <w:sz w:val="19"/>
              </w:rPr>
              <w:t>工序流程图</w:t>
            </w:r>
          </w:p>
        </w:tc>
        <w:tc>
          <w:tcPr>
            <w:tcW w:type="dxa" w:w="4535"/>
          </w:tcPr>
          <w:p>
            <w:pPr>
              <w:spacing w:after="20" w:line="276" w:lineRule="auto"/>
            </w:pPr>
            <w:r/>
            <w:r>
              <w:rPr>
                <w:sz w:val="19"/>
              </w:rPr>
              <w:t>各型号从来料检验到成品包装的工序顺序</w:t>
            </w:r>
          </w:p>
        </w:tc>
        <w:tc>
          <w:tcPr>
            <w:tcW w:type="dxa" w:w="2154"/>
          </w:tcPr>
          <w:p>
            <w:pPr>
              <w:spacing w:after="20" w:line="276" w:lineRule="auto"/>
            </w:pPr>
            <w:r/>
            <w:r>
              <w:rPr>
                <w:sz w:val="19"/>
              </w:rPr>
              <w:t>PDF 与可编辑文档各一份</w:t>
            </w:r>
          </w:p>
        </w:tc>
      </w:tr>
      <w:tr>
        <w:tc>
          <w:tcPr>
            <w:tcW w:type="dxa" w:w="680"/>
          </w:tcPr>
          <w:p>
            <w:pPr>
              <w:spacing w:after="20" w:line="276" w:lineRule="auto"/>
            </w:pPr>
            <w:r/>
            <w:r>
              <w:rPr>
                <w:sz w:val="19"/>
              </w:rPr>
              <w:t>2</w:t>
            </w:r>
          </w:p>
        </w:tc>
        <w:tc>
          <w:tcPr>
            <w:tcW w:type="dxa" w:w="1814"/>
          </w:tcPr>
          <w:p>
            <w:pPr>
              <w:spacing w:after="20" w:line="276" w:lineRule="auto"/>
            </w:pPr>
            <w:r/>
            <w:r>
              <w:rPr>
                <w:sz w:val="19"/>
              </w:rPr>
              <w:t>加工参数表</w:t>
            </w:r>
          </w:p>
        </w:tc>
        <w:tc>
          <w:tcPr>
            <w:tcW w:type="dxa" w:w="4535"/>
          </w:tcPr>
          <w:p>
            <w:pPr>
              <w:spacing w:after="20" w:line="276" w:lineRule="auto"/>
            </w:pPr>
            <w:r/>
            <w:r>
              <w:rPr>
                <w:sz w:val="19"/>
              </w:rPr>
              <w:t>刀具、转速、进给、装夹方式、冷却条件</w:t>
            </w:r>
          </w:p>
        </w:tc>
        <w:tc>
          <w:tcPr>
            <w:tcW w:type="dxa" w:w="2154"/>
          </w:tcPr>
          <w:p>
            <w:pPr>
              <w:spacing w:after="20" w:line="276" w:lineRule="auto"/>
            </w:pPr>
            <w:r/>
            <w:r>
              <w:rPr>
                <w:sz w:val="19"/>
              </w:rPr>
              <w:t>PDF</w:t>
            </w:r>
          </w:p>
        </w:tc>
      </w:tr>
      <w:tr>
        <w:tc>
          <w:tcPr>
            <w:tcW w:type="dxa" w:w="680"/>
          </w:tcPr>
          <w:p>
            <w:pPr>
              <w:spacing w:after="20" w:line="276" w:lineRule="auto"/>
            </w:pPr>
            <w:r/>
            <w:r>
              <w:rPr>
                <w:sz w:val="19"/>
              </w:rPr>
              <w:t>3</w:t>
            </w:r>
          </w:p>
        </w:tc>
        <w:tc>
          <w:tcPr>
            <w:tcW w:type="dxa" w:w="1814"/>
          </w:tcPr>
          <w:p>
            <w:pPr>
              <w:spacing w:after="20" w:line="276" w:lineRule="auto"/>
            </w:pPr>
            <w:r/>
            <w:r>
              <w:rPr>
                <w:sz w:val="19"/>
              </w:rPr>
              <w:t>检验规范</w:t>
            </w:r>
          </w:p>
        </w:tc>
        <w:tc>
          <w:tcPr>
            <w:tcW w:type="dxa" w:w="4535"/>
          </w:tcPr>
          <w:p>
            <w:pPr>
              <w:spacing w:after="20" w:line="276" w:lineRule="auto"/>
            </w:pPr>
            <w:r/>
            <w:r>
              <w:rPr>
                <w:sz w:val="19"/>
              </w:rPr>
              <w:t>首件检验、过程巡检、出货检验的项目与频次</w:t>
            </w:r>
          </w:p>
        </w:tc>
        <w:tc>
          <w:tcPr>
            <w:tcW w:type="dxa" w:w="2154"/>
          </w:tcPr>
          <w:p>
            <w:pPr>
              <w:spacing w:after="20" w:line="276" w:lineRule="auto"/>
            </w:pPr>
            <w:r/>
            <w:r>
              <w:rPr>
                <w:sz w:val="19"/>
              </w:rPr>
              <w:t>PDF</w:t>
            </w:r>
          </w:p>
        </w:tc>
      </w:tr>
      <w:tr>
        <w:tc>
          <w:tcPr>
            <w:tcW w:type="dxa" w:w="680"/>
          </w:tcPr>
          <w:p>
            <w:pPr>
              <w:spacing w:after="20" w:line="276" w:lineRule="auto"/>
            </w:pPr>
            <w:r/>
            <w:r>
              <w:rPr>
                <w:sz w:val="19"/>
              </w:rPr>
              <w:t>4</w:t>
            </w:r>
          </w:p>
        </w:tc>
        <w:tc>
          <w:tcPr>
            <w:tcW w:type="dxa" w:w="1814"/>
          </w:tcPr>
          <w:p>
            <w:pPr>
              <w:spacing w:after="20" w:line="276" w:lineRule="auto"/>
            </w:pPr>
            <w:r/>
            <w:r>
              <w:rPr>
                <w:sz w:val="19"/>
              </w:rPr>
              <w:t>质量控制要点</w:t>
            </w:r>
          </w:p>
        </w:tc>
        <w:tc>
          <w:tcPr>
            <w:tcW w:type="dxa" w:w="4535"/>
          </w:tcPr>
          <w:p>
            <w:pPr>
              <w:spacing w:after="20" w:line="276" w:lineRule="auto"/>
            </w:pPr>
            <w:r/>
            <w:r>
              <w:rPr>
                <w:sz w:val="19"/>
              </w:rPr>
              <w:t>关键尺寸的控制点、常见不良及对策</w:t>
            </w:r>
          </w:p>
        </w:tc>
        <w:tc>
          <w:tcPr>
            <w:tcW w:type="dxa" w:w="2154"/>
          </w:tcPr>
          <w:p>
            <w:pPr>
              <w:spacing w:after="20" w:line="276" w:lineRule="auto"/>
            </w:pPr>
            <w:r/>
            <w:r>
              <w:rPr>
                <w:sz w:val="19"/>
              </w:rPr>
              <w:t>PDF</w:t>
            </w:r>
          </w:p>
        </w:tc>
      </w:tr>
    </w:tbl>
    <w:p>
      <w:pPr>
        <w:spacing w:after="40"/>
      </w:pPr>
    </w:p>
    <w:sectPr w:rsidR="00FC693F" w:rsidRPr="0006063C" w:rsidSect="00034616">
      <w:headerReference w:type="default" r:id="rId9"/>
      <w:footerReference w:type="default" r:id="rId10"/>
      <w:pgSz w:w="11906" w:h="16838"/>
      <w:pgMar w:top="1417" w:right="1474" w:bottom="1304" w:left="1474"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合同风险审查助手（辅助初审）" w:initials="审" w:date="2026-10-10T13:21:22Z">
    <w:p>
      <w:pPr>
        <w:pStyle w:val="CommentText"/>
      </w:pPr>
      <w:r>
        <w:rPr>
          <w:rStyle w:val="CommentReference"/>
        </w:rPr>
        <w:annotationRef/>
      </w:r>
      <w:r>
        <w:t>【红】成果归属含我方原有技术</w:t>
      </w:r>
    </w:p>
    <w:p>
      <w:pPr>
        <w:pStyle w:val="CommentText"/>
      </w:pPr>
      <w:r>
        <w:t>问题：成果归甲方，且范围包含我方（乙方）原有的工艺与技术。</w:t>
      </w:r>
    </w:p>
    <w:p>
      <w:pPr>
        <w:pStyle w:val="CommentText"/>
      </w:pPr>
      <w:r>
        <w:t>风险说明：签了以后，我方原有工艺和技术诀窍也算对方的，今后给别的客户用都可能被追责。</w:t>
      </w:r>
    </w:p>
    <w:p>
      <w:pPr>
        <w:pStyle w:val="CommentText"/>
      </w:pPr>
      <w:r>
        <w:t>修改方向：区分背景知识产权与本项目新成果：原有技术归我方，对方只取得在本项目范围内的使用许可。</w:t>
      </w:r>
    </w:p>
    <w:p>
      <w:pPr>
        <w:pStyle w:val="CommentText"/>
      </w:pPr>
      <w:r>
        <w:t>修改示例：乙方在本合同签订前已拥有或独立开发的技术、工艺及技术诀窍（背景知识产权）仍归乙方所有；本项目新形成的成果归甲方，乙方保留在其他项目中使用通用方法的权利。</w:t>
      </w:r>
    </w:p>
    <w:p>
      <w:pPr>
        <w:pStyle w:val="CommentText"/>
      </w:pPr>
      <w:r>
        <w:t>涉及条款：第六条 工艺方案及其成果</w:t>
      </w:r>
    </w:p>
    <w:p>
      <w:pPr>
        <w:pStyle w:val="CommentText"/>
      </w:pPr>
      <w:r>
        <w:t>辅助初审，不构成法律意见。</w:t>
      </w:r>
    </w:p>
  </w:comment>
  <w:comment w:id="1" w:author="合同风险审查助手（辅助初审）" w:initials="审" w:date="2026-10-10T13:21:22Z">
    <w:p>
      <w:pPr>
        <w:pStyle w:val="CommentText"/>
      </w:pPr>
      <w:r>
        <w:rPr>
          <w:rStyle w:val="CommentReference"/>
        </w:rPr>
        <w:annotationRef/>
      </w:r>
      <w:r>
        <w:t>【红】解除后无补偿</w:t>
      </w:r>
    </w:p>
    <w:p>
      <w:pPr>
        <w:pStyle w:val="CommentText"/>
      </w:pPr>
      <w:r>
        <w:t>问题：对方解除后，我方已投入的在制品、备料、模具没有补偿约定。</w:t>
      </w:r>
    </w:p>
    <w:p>
      <w:pPr>
        <w:pStyle w:val="CommentText"/>
      </w:pPr>
      <w:r>
        <w:t>风险说明：对方解除后，我方已经投入的在制品、备料、模具费用可能全部自担。</w:t>
      </w:r>
    </w:p>
    <w:p>
      <w:pPr>
        <w:pStyle w:val="CommentText"/>
      </w:pPr>
      <w:r>
        <w:t>修改方向：约定解除时对方按实际投入结算在制品、备料、模具费用。</w:t>
      </w:r>
    </w:p>
    <w:p>
      <w:pPr>
        <w:pStyle w:val="CommentText"/>
      </w:pPr>
      <w:r>
        <w:t>修改示例：甲方提前解除的，应按乙方已完成的工作量、已采购的材料及已制作的模具工装费用据实结算。</w:t>
      </w:r>
    </w:p>
    <w:p>
      <w:pPr>
        <w:pStyle w:val="CommentText"/>
      </w:pPr>
      <w:r>
        <w:t>涉及条款：第十二条 合同解除</w:t>
      </w:r>
    </w:p>
    <w:p>
      <w:pPr>
        <w:pStyle w:val="CommentText"/>
      </w:pPr>
      <w:r>
        <w:t>辅助初审，不构成法律意见。</w:t>
      </w:r>
    </w:p>
  </w:comment>
  <w:comment w:id="2" w:author="合同风险审查助手（辅助初审）" w:initials="审" w:date="2026-10-10T13:21:22Z">
    <w:p>
      <w:pPr>
        <w:pStyle w:val="CommentText"/>
      </w:pPr>
      <w:r>
        <w:rPr>
          <w:rStyle w:val="CommentReference"/>
        </w:rPr>
        <w:annotationRef/>
      </w:r>
      <w:r>
        <w:t>【红】对方可单方解除或变更</w:t>
      </w:r>
    </w:p>
    <w:p>
      <w:pPr>
        <w:pStyle w:val="CommentText"/>
      </w:pPr>
      <w:r>
        <w:t>问题：甲方可无因单方解除，我方不可。</w:t>
      </w:r>
    </w:p>
    <w:p>
      <w:pPr>
        <w:pStyle w:val="CommentText"/>
      </w:pPr>
      <w:r>
        <w:t>风险说明：对方随时可以解除或单方改变合同内容，我方的投入和收益没有保障。</w:t>
      </w:r>
    </w:p>
    <w:p>
      <w:pPr>
        <w:pStyle w:val="CommentText"/>
      </w:pPr>
      <w:r>
        <w:t>修改方向：解除权双方对等，并约定合理的通知期；变更须双方书面确认。</w:t>
      </w:r>
    </w:p>
    <w:p>
      <w:pPr>
        <w:pStyle w:val="CommentText"/>
      </w:pPr>
      <w:r>
        <w:t>修改示例：任何一方可提前 30 日书面通知解除本合同，但应按第××条结算已发生的费用。合同变更须经双方书面确认。</w:t>
      </w:r>
    </w:p>
    <w:p>
      <w:pPr>
        <w:pStyle w:val="CommentText"/>
      </w:pPr>
      <w:r>
        <w:t>涉及条款：第十二条 合同解除</w:t>
      </w:r>
    </w:p>
    <w:p>
      <w:pPr>
        <w:pStyle w:val="CommentText"/>
      </w:pPr>
      <w:r>
        <w:t>辅助初审，不构成法律意见。</w:t>
      </w:r>
    </w:p>
  </w:comment>
  <w:comment w:id="3" w:author="合同风险审查助手（辅助初审）" w:initials="审" w:date="2026-10-10T13:21:22Z">
    <w:p>
      <w:pPr>
        <w:pStyle w:val="CommentText"/>
      </w:pPr>
      <w:r>
        <w:rPr>
          <w:rStyle w:val="CommentReference"/>
        </w:rPr>
        <w:annotationRef/>
      </w:r>
      <w:r>
        <w:t>【红】要求我方个人或连带担保</w:t>
      </w:r>
    </w:p>
    <w:p>
      <w:pPr>
        <w:pStyle w:val="CommentText"/>
      </w:pPr>
      <w:r>
        <w:t>问题：要求我方（含法定代表人、股东或关联方）提供个人或连带担保。</w:t>
      </w:r>
    </w:p>
    <w:p>
      <w:pPr>
        <w:pStyle w:val="CommentText"/>
      </w:pPr>
      <w:r>
        <w:t>风险说明：法定代表人或股东个人承担连带保证，公司的合同风险会直接落到个人和家庭财产上。</w:t>
      </w:r>
    </w:p>
    <w:p>
      <w:pPr>
        <w:pStyle w:val="CommentText"/>
      </w:pPr>
      <w:r>
        <w:t>修改方向：删除个人担保；确需担保的，改为公司担保并限定金额与期限。</w:t>
      </w:r>
    </w:p>
    <w:p>
      <w:pPr>
        <w:pStyle w:val="CommentText"/>
      </w:pPr>
      <w:r>
        <w:t>修改示例：（建议删除本条。）</w:t>
      </w:r>
    </w:p>
    <w:p>
      <w:pPr>
        <w:pStyle w:val="CommentText"/>
      </w:pPr>
      <w:r>
        <w:t>涉及条款：第十四条 担保</w:t>
      </w:r>
    </w:p>
    <w:p>
      <w:pPr>
        <w:pStyle w:val="CommentText"/>
      </w:pPr>
      <w:r>
        <w:t>辅助初审，不构成法律意见。</w:t>
      </w:r>
    </w:p>
  </w:comment>
  <w:comment w:id="4" w:author="合同风险审查助手（辅助初审）" w:initials="审" w:date="2026-10-10T13:21:22Z">
    <w:p>
      <w:pPr>
        <w:pStyle w:val="CommentText"/>
      </w:pPr>
      <w:r>
        <w:rPr>
          <w:rStyle w:val="CommentReference"/>
        </w:rPr>
        <w:annotationRef/>
      </w:r>
      <w:r>
        <w:t>【黄】账期自收到发票起算</w:t>
      </w:r>
    </w:p>
    <w:p>
      <w:pPr>
        <w:pStyle w:val="CommentText"/>
      </w:pPr>
      <w:r>
        <w:t>问题：账期自对方收到发票起算，对方迟收发票或退票，账期就不起算。</w:t>
      </w:r>
    </w:p>
    <w:p>
      <w:pPr>
        <w:pStyle w:val="CommentText"/>
      </w:pPr>
      <w:r>
        <w:t>风险说明：对方迟迟不收票或以发票有问题为由退票，账期就不起算。</w:t>
      </w:r>
    </w:p>
    <w:p>
      <w:pPr>
        <w:pStyle w:val="CommentText"/>
      </w:pPr>
      <w:r>
        <w:t>修改方向：账期改为自发货、签收或对账起算，开票作为付款条件之一，不作为起算点。</w:t>
      </w:r>
    </w:p>
    <w:p>
      <w:pPr>
        <w:pStyle w:val="CommentText"/>
      </w:pPr>
      <w:r>
        <w:t>修改示例：甲方应在货物签收之日起××日内付款，乙方应在付款前开具合规发票。</w:t>
      </w:r>
    </w:p>
    <w:p>
      <w:pPr>
        <w:pStyle w:val="CommentText"/>
      </w:pPr>
      <w:r>
        <w:t>涉及条款：第三条 付款方式</w:t>
      </w:r>
    </w:p>
    <w:p>
      <w:pPr>
        <w:pStyle w:val="CommentText"/>
      </w:pPr>
      <w:r>
        <w:t>辅助初审，不构成法律意见。</w:t>
      </w:r>
    </w:p>
  </w:comment>
  <w:comment w:id="5" w:author="合同风险审查助手（辅助初审）" w:initials="审" w:date="2026-10-10T13:21:22Z">
    <w:p>
      <w:pPr>
        <w:pStyle w:val="CommentText"/>
      </w:pPr>
      <w:r>
        <w:rPr>
          <w:rStyle w:val="CommentReference"/>
        </w:rPr>
        <w:annotationRef/>
      </w:r>
      <w:r>
        <w:t>【黄】保密无期限</w:t>
      </w:r>
    </w:p>
    <w:p>
      <w:pPr>
        <w:pStyle w:val="CommentText"/>
      </w:pPr>
      <w:r>
        <w:t>问题：保密条款没有期限。</w:t>
      </w:r>
    </w:p>
    <w:p>
      <w:pPr>
        <w:pStyle w:val="CommentText"/>
      </w:pPr>
      <w:r>
        <w:t>风险说明：保密义务永远不结束，时间越久越难证明自己没有泄密。</w:t>
      </w:r>
    </w:p>
    <w:p>
      <w:pPr>
        <w:pStyle w:val="CommentText"/>
      </w:pPr>
      <w:r>
        <w:t>修改方向：设保密期限，如合同终止后 2 至 3 年。</w:t>
      </w:r>
    </w:p>
    <w:p>
      <w:pPr>
        <w:pStyle w:val="CommentText"/>
      </w:pPr>
      <w:r>
        <w:t>修改示例：本保密义务在本合同终止后 3 年内持续有效。</w:t>
      </w:r>
    </w:p>
    <w:p>
      <w:pPr>
        <w:pStyle w:val="CommentText"/>
      </w:pPr>
      <w:r>
        <w:t>涉及条款：第十一条 保密</w:t>
      </w:r>
    </w:p>
    <w:p>
      <w:pPr>
        <w:pStyle w:val="CommentText"/>
      </w:pPr>
      <w:r>
        <w:t>辅助初审，不构成法律意见。</w:t>
      </w:r>
    </w:p>
  </w:comment>
  <w:comment w:id="6" w:author="合同风险审查助手（辅助初审）" w:initials="审" w:date="2026-10-10T13:21:22Z">
    <w:p>
      <w:pPr>
        <w:pStyle w:val="CommentText"/>
      </w:pPr>
      <w:r>
        <w:rPr>
          <w:rStyle w:val="CommentReference"/>
        </w:rPr>
        <w:annotationRef/>
      </w:r>
      <w:r>
        <w:t>【黄】引用文件未附</w:t>
      </w:r>
    </w:p>
    <w:p>
      <w:pPr>
        <w:pStyle w:val="CommentText"/>
      </w:pPr>
      <w:r>
        <w:t>问题：引用或列明的文件没有附上：《图纸 LG-H210-01（B）、LG-E115-01（A）、LG-B330-01（A）》。</w:t>
      </w:r>
    </w:p>
    <w:p>
      <w:pPr>
        <w:pStyle w:val="CommentText"/>
      </w:pPr>
      <w:r>
        <w:t>风险说明：合同引用的文件不在手里，等于把一部分条款交给对方事后解释，我方看不到也审不到。</w:t>
      </w:r>
    </w:p>
    <w:p>
      <w:pPr>
        <w:pStyle w:val="CommentText"/>
      </w:pPr>
      <w:r>
        <w:t>修改方向：把引用的文件作为附件附上并固定版本；对方网页条款不得单方更新。</w:t>
      </w:r>
    </w:p>
    <w:p>
      <w:pPr>
        <w:pStyle w:val="CommentText"/>
      </w:pPr>
      <w:r>
        <w:t>修改示例：《××》（版本号××，日期××）作为本合同附件，与本合同具有同等效力；未经双方书面同意不得变更。</w:t>
      </w:r>
    </w:p>
    <w:p>
      <w:pPr>
        <w:pStyle w:val="CommentText"/>
      </w:pPr>
      <w:r>
        <w:t>涉及条款：第一条 委托事项、规格与数量、第八条 验收、附件一 加工技术要求与图纸清…</w:t>
      </w:r>
    </w:p>
    <w:p>
      <w:pPr>
        <w:pStyle w:val="CommentText"/>
      </w:pPr>
      <w:r>
        <w:t>辅助初审，不构成法律意见。</w:t>
      </w:r>
    </w:p>
  </w:comment>
  <w:comment w:id="7" w:author="合同风险审查助手（辅助初审）" w:initials="审" w:date="2026-10-10T13:21:22Z">
    <w:p>
      <w:pPr>
        <w:pStyle w:val="CommentText"/>
      </w:pPr>
      <w:r>
        <w:rPr>
          <w:rStyle w:val="CommentReference"/>
        </w:rPr>
        <w:annotationRef/>
      </w:r>
      <w:r>
        <w:t>【黄】回传稿未经比对</w:t>
      </w:r>
    </w:p>
    <w:p>
      <w:pPr>
        <w:pStyle w:val="CommentText"/>
      </w:pPr>
      <w:r>
        <w:t>问题：本稿标注为对方回传或修改稿，文件里没有修订痕迹，改了哪些地方无法从本稿看出。</w:t>
      </w:r>
    </w:p>
    <w:p>
      <w:pPr>
        <w:pStyle w:val="CommentText"/>
      </w:pPr>
      <w:r>
        <w:t>风险说明：对方回传稿可能在谈定条款以外改了数字或措辞，没有修订痕迹时肉眼很难发现。</w:t>
      </w:r>
    </w:p>
    <w:p>
      <w:pPr>
        <w:pStyle w:val="CommentText"/>
      </w:pPr>
      <w:r>
        <w:t>修改方向：先与上一版逐字比对，确认只改了谈定的地方，再复审改动处。</w:t>
      </w:r>
    </w:p>
    <w:p>
      <w:pPr>
        <w:pStyle w:val="CommentText"/>
      </w:pPr>
      <w:r>
        <w:t>修改示例：（请对方提供开启修订模式的版本，或由我方用版本对比工具核对。）</w:t>
      </w:r>
    </w:p>
    <w:p>
      <w:pPr>
        <w:pStyle w:val="CommentText"/>
      </w:pPr>
      <w:r>
        <w:t>涉及条款：首部</w:t>
      </w:r>
    </w:p>
    <w:p>
      <w:pPr>
        <w:pStyle w:val="CommentText"/>
      </w:pPr>
      <w:r>
        <w:t>辅助初审，不构成法律意见。</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示例合同　第 </w:t>
    </w:r>
    <w:r>
      <w:rPr>
        <w:sz w:val="18"/>
      </w:rPr>
      <w:fldChar w:fldCharType="begin"/>
      <w:instrText xml:space="preserve">PAGE</w:instrText>
      <w:fldChar w:fldCharType="end"/>
    </w:r>
    <w:r>
      <w:rPr>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808080"/>
        <w:sz w:val="18"/>
      </w:rPr>
      <w:t>示例合同 · 当事人与数据均为虚构 · 委托加工与设计服务合同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pPr>
    <w:rPr>
      <w:rFonts w:ascii="Times New Roman" w:hAnsi="Times New Roman" w:eastAsia="宋体" w:cs="Times New Roman"/>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jc w:val="center"/>
      <w:outlineLvl w:val="0"/>
    </w:pPr>
    <w:rPr>
      <w:rFonts w:ascii="Times New Roman" w:hAnsi="Times New Roman" w:eastAsia="黑体"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imes New Roman" w:hAnsi="Times New Roman" w:eastAsia="黑体"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jc w:val="center"/>
    </w:pPr>
    <w:rPr>
      <w:rFonts w:ascii="Times New Roman" w:hAnsi="Times New Roman" w:eastAsia="黑体" w:cs="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